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8215" w14:textId="77777777" w:rsidR="00C369D7" w:rsidRPr="005D5606" w:rsidRDefault="00C369D7">
      <w:pPr>
        <w:pStyle w:val="Textkrper"/>
        <w:kinsoku w:val="0"/>
        <w:overflowPunct w:val="0"/>
        <w:ind w:left="0" w:firstLine="0"/>
        <w:jc w:val="left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14:paraId="0D178216" w14:textId="77777777" w:rsidR="00C369D7" w:rsidRPr="005D5606" w:rsidRDefault="00C369D7">
      <w:pPr>
        <w:pStyle w:val="Textkrper"/>
        <w:kinsoku w:val="0"/>
        <w:overflowPunct w:val="0"/>
        <w:ind w:left="0" w:firstLine="0"/>
        <w:jc w:val="left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14:paraId="0D178217" w14:textId="77777777" w:rsidR="00C369D7" w:rsidRPr="005D5606" w:rsidRDefault="00C369D7">
      <w:pPr>
        <w:pStyle w:val="Textkrper"/>
        <w:kinsoku w:val="0"/>
        <w:overflowPunct w:val="0"/>
        <w:spacing w:before="3"/>
        <w:ind w:left="0" w:firstLine="0"/>
        <w:jc w:val="lef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14:paraId="0D178218" w14:textId="3FB1FECB" w:rsidR="00C369D7" w:rsidRPr="005D5606" w:rsidRDefault="00E9446B" w:rsidP="007C1FED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ind w:right="-170"/>
        <w:outlineLvl w:val="9"/>
        <w:rPr>
          <w:color w:val="A6A6A6" w:themeColor="background1" w:themeShade="A6"/>
        </w:rPr>
      </w:pPr>
      <w:proofErr w:type="spellStart"/>
      <w:r w:rsidRPr="005D5606">
        <w:rPr>
          <w:color w:val="A6A6A6" w:themeColor="background1" w:themeShade="A6"/>
        </w:rPr>
        <w:t>Généralités</w:t>
      </w:r>
      <w:proofErr w:type="spellEnd"/>
    </w:p>
    <w:p w14:paraId="0D178219" w14:textId="76B8A4F6" w:rsidR="00C369D7" w:rsidRPr="005D5606" w:rsidRDefault="00C369D7" w:rsidP="003B6995">
      <w:pPr>
        <w:pStyle w:val="Textkrper"/>
        <w:kinsoku w:val="0"/>
        <w:overflowPunct w:val="0"/>
        <w:spacing w:before="157"/>
        <w:ind w:left="-340" w:hanging="284"/>
        <w:jc w:val="left"/>
        <w:rPr>
          <w:b/>
          <w:bCs/>
          <w:color w:val="A6A6A6" w:themeColor="background1" w:themeShade="A6"/>
          <w:sz w:val="24"/>
          <w:szCs w:val="24"/>
        </w:rPr>
      </w:pPr>
      <w:bookmarkStart w:id="0" w:name="_GoBack"/>
      <w:bookmarkEnd w:id="0"/>
      <w:r w:rsidRPr="005D560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 w:type="column"/>
      </w:r>
      <w:r w:rsidR="009E721F" w:rsidRPr="005D5606">
        <w:rPr>
          <w:b/>
          <w:bCs/>
          <w:color w:val="A6A6A6" w:themeColor="background1" w:themeShade="A6"/>
          <w:sz w:val="24"/>
          <w:szCs w:val="24"/>
        </w:rPr>
        <w:t>CONDITIONS GENERALES DE LIVRAISON ET DE PAIEMENT</w:t>
      </w:r>
    </w:p>
    <w:p w14:paraId="0D17821A" w14:textId="77777777" w:rsidR="00C369D7" w:rsidRPr="005D5606" w:rsidRDefault="00C369D7">
      <w:pPr>
        <w:pStyle w:val="Textkrper"/>
        <w:kinsoku w:val="0"/>
        <w:overflowPunct w:val="0"/>
        <w:spacing w:before="237" w:line="125" w:lineRule="exact"/>
        <w:ind w:left="3363" w:firstLine="0"/>
        <w:jc w:val="left"/>
        <w:rPr>
          <w:color w:val="A6A6A6" w:themeColor="background1" w:themeShade="A6"/>
        </w:rPr>
        <w:sectPr w:rsidR="00C369D7" w:rsidRPr="005D5606" w:rsidSect="008D0849">
          <w:headerReference w:type="default" r:id="rId12"/>
          <w:type w:val="continuous"/>
          <w:pgSz w:w="11910" w:h="16850"/>
          <w:pgMar w:top="475" w:right="720" w:bottom="280" w:left="1100" w:header="142" w:footer="720" w:gutter="0"/>
          <w:cols w:num="2" w:space="720" w:equalWidth="0">
            <w:col w:w="964" w:space="1313"/>
            <w:col w:w="7813"/>
          </w:cols>
          <w:noEndnote/>
        </w:sectPr>
      </w:pPr>
    </w:p>
    <w:p w14:paraId="5A6E3522" w14:textId="330D8836" w:rsidR="00E9446B" w:rsidRPr="005D5606" w:rsidRDefault="00E9446B" w:rsidP="00E9446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27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Nos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offres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livraisons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prestations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s’effectuent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exclusivement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base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conditions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suivantes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Celles-ci valent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aussi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relations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commerciales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futures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même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si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elles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ne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expressément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renouvelées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par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écrit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modification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conditions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commerciales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particulier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l’entrée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vigueur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conditions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d’achat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requiert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reconnaissance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écrite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expresse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contre-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confirmation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commandes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se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référant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conditions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d’achat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et/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commerciales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expressément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récusée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50F9483F" w14:textId="259E08E1" w:rsidR="00E9446B" w:rsidRPr="005D5606" w:rsidRDefault="00E9446B" w:rsidP="00E9446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27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Ces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conditions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applicables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exclusivement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aux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entrepreneurs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au sens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l'article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14 du Code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civil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allemand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(BGB).</w:t>
      </w:r>
    </w:p>
    <w:p w14:paraId="37308C89" w14:textId="45747347" w:rsidR="00E9446B" w:rsidRPr="005D5606" w:rsidRDefault="00E9446B" w:rsidP="00E9446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27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Nos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offres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libres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obligation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commandes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ne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deviennent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obligatoires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si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confirmons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approuvons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par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l’envoi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D’éventuelles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clauses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accessoires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verbales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valent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qu’après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confirmation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écrite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0D17821E" w14:textId="489A4261" w:rsidR="00C369D7" w:rsidRPr="005D5606" w:rsidRDefault="00E9446B" w:rsidP="00E9446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27"/>
        <w:rPr>
          <w:color w:val="A6A6A6" w:themeColor="background1" w:themeShade="A6"/>
          <w:spacing w:val="-3"/>
          <w:sz w:val="13"/>
          <w:szCs w:val="13"/>
        </w:rPr>
      </w:pPr>
      <w:r w:rsidRPr="005D5606">
        <w:rPr>
          <w:color w:val="A6A6A6" w:themeColor="background1" w:themeShade="A6"/>
          <w:spacing w:val="-3"/>
          <w:sz w:val="13"/>
          <w:szCs w:val="13"/>
        </w:rPr>
        <w:t xml:space="preserve">La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facturation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a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lieu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aux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prix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respectivement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vigueur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le jour de la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conclusion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contrat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auxquels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vient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s’ajouter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la taxe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sur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valeur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ajoutée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alors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vigueur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>.</w:t>
      </w:r>
    </w:p>
    <w:p w14:paraId="0D17821F" w14:textId="2036ABD4" w:rsidR="00C369D7" w:rsidRPr="005D5606" w:rsidRDefault="00E9446B">
      <w:pPr>
        <w:pStyle w:val="berschrift11"/>
        <w:numPr>
          <w:ilvl w:val="0"/>
          <w:numId w:val="1"/>
        </w:numPr>
        <w:tabs>
          <w:tab w:val="left" w:pos="386"/>
        </w:tabs>
        <w:kinsoku w:val="0"/>
        <w:overflowPunct w:val="0"/>
        <w:outlineLvl w:val="9"/>
        <w:rPr>
          <w:color w:val="A6A6A6" w:themeColor="background1" w:themeShade="A6"/>
        </w:rPr>
      </w:pPr>
      <w:proofErr w:type="spellStart"/>
      <w:r w:rsidRPr="005D5606">
        <w:rPr>
          <w:color w:val="A6A6A6" w:themeColor="background1" w:themeShade="A6"/>
        </w:rPr>
        <w:t>Livraison</w:t>
      </w:r>
      <w:proofErr w:type="spellEnd"/>
      <w:r w:rsidR="00234925" w:rsidRPr="005D5606">
        <w:rPr>
          <w:color w:val="A6A6A6" w:themeColor="background1" w:themeShade="A6"/>
        </w:rPr>
        <w:t xml:space="preserve"> </w:t>
      </w:r>
    </w:p>
    <w:p w14:paraId="31DC8190" w14:textId="37D93EB1" w:rsidR="00E9446B" w:rsidRPr="005D5606" w:rsidRDefault="00E9446B" w:rsidP="00E9446B">
      <w:pPr>
        <w:pStyle w:val="Listenabsatz"/>
        <w:kinsoku w:val="0"/>
        <w:overflowPunct w:val="0"/>
        <w:spacing w:before="1" w:line="249" w:lineRule="auto"/>
        <w:ind w:right="1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2.1 </w:t>
      </w:r>
      <w:r w:rsidRPr="005D5606">
        <w:rPr>
          <w:color w:val="A6A6A6" w:themeColor="background1" w:themeShade="A6"/>
          <w:sz w:val="13"/>
          <w:szCs w:val="13"/>
        </w:rPr>
        <w:tab/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livraisons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lieu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vertu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formes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livraison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applicables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différents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produits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Indépendamment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valeur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livraison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facturons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forfait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frais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logistique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mesure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où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cela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convenu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avec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valeur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netteest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inférieure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500,00 EUR, des frais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traitement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supplémentaires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24,50 EUR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seront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facturés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demandes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spéciales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concernant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mode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d'expédition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seront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considérées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si possible contre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remboursement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des frais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supplémentaires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53EE5D23" w14:textId="4036EEBE" w:rsidR="00E9446B" w:rsidRPr="005D5606" w:rsidRDefault="00E9446B" w:rsidP="00E9446B">
      <w:pPr>
        <w:pStyle w:val="Listenabsatz"/>
        <w:kinsoku w:val="0"/>
        <w:overflowPunct w:val="0"/>
        <w:spacing w:before="1" w:line="249" w:lineRule="auto"/>
        <w:ind w:right="1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2.2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dates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livraison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délais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convenus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manière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contraignante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non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requièrent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forme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écrite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Lors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dépassement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fautif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délai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livraison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convenue,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retard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paiement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ne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devient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effectif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qu’après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octroi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sursis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approprié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0D178222" w14:textId="138D894E" w:rsidR="00C369D7" w:rsidRPr="005D5606" w:rsidRDefault="00E9446B" w:rsidP="00E9446B">
      <w:pPr>
        <w:pStyle w:val="Listenabsatz"/>
        <w:kinsoku w:val="0"/>
        <w:overflowPunct w:val="0"/>
        <w:spacing w:before="1" w:line="249" w:lineRule="auto"/>
        <w:ind w:right="1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2.3 </w:t>
      </w:r>
      <w:r w:rsidRPr="005D5606">
        <w:rPr>
          <w:color w:val="A6A6A6" w:themeColor="background1" w:themeShade="A6"/>
          <w:sz w:val="13"/>
          <w:szCs w:val="13"/>
        </w:rPr>
        <w:tab/>
      </w:r>
      <w:r w:rsidRPr="005D5606">
        <w:rPr>
          <w:color w:val="A6A6A6" w:themeColor="background1" w:themeShade="A6"/>
          <w:spacing w:val="-4"/>
          <w:sz w:val="13"/>
          <w:szCs w:val="13"/>
        </w:rPr>
        <w:t xml:space="preserve">Dans la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mesure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où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utilisons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nos propres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emballage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moyen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transport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, nos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conditions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d’emballage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particulières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s’appliquent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marchandises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sont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emballées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avec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le plus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grand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soin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L’emballage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n’est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pas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4"/>
          <w:sz w:val="13"/>
          <w:szCs w:val="13"/>
        </w:rPr>
        <w:t>repris</w:t>
      </w:r>
      <w:proofErr w:type="spellEnd"/>
      <w:r w:rsidRPr="005D5606">
        <w:rPr>
          <w:color w:val="A6A6A6" w:themeColor="background1" w:themeShade="A6"/>
          <w:spacing w:val="-4"/>
          <w:sz w:val="13"/>
          <w:szCs w:val="13"/>
        </w:rPr>
        <w:t>.</w:t>
      </w:r>
    </w:p>
    <w:p w14:paraId="0D178225" w14:textId="4AB7A9DF" w:rsidR="00C369D7" w:rsidRPr="005D5606" w:rsidRDefault="00E9446B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outlineLvl w:val="9"/>
        <w:rPr>
          <w:color w:val="A6A6A6" w:themeColor="background1" w:themeShade="A6"/>
        </w:rPr>
      </w:pPr>
      <w:proofErr w:type="spellStart"/>
      <w:r w:rsidRPr="005D5606">
        <w:rPr>
          <w:color w:val="A6A6A6" w:themeColor="background1" w:themeShade="A6"/>
        </w:rPr>
        <w:t>Expédition</w:t>
      </w:r>
      <w:proofErr w:type="spellEnd"/>
      <w:r w:rsidRPr="005D5606">
        <w:rPr>
          <w:color w:val="A6A6A6" w:themeColor="background1" w:themeShade="A6"/>
        </w:rPr>
        <w:t xml:space="preserve">, </w:t>
      </w:r>
      <w:proofErr w:type="spellStart"/>
      <w:r w:rsidRPr="005D5606">
        <w:rPr>
          <w:color w:val="A6A6A6" w:themeColor="background1" w:themeShade="A6"/>
        </w:rPr>
        <w:t>transfert</w:t>
      </w:r>
      <w:proofErr w:type="spellEnd"/>
      <w:r w:rsidRPr="005D5606">
        <w:rPr>
          <w:color w:val="A6A6A6" w:themeColor="background1" w:themeShade="A6"/>
        </w:rPr>
        <w:t xml:space="preserve"> des </w:t>
      </w:r>
      <w:proofErr w:type="spellStart"/>
      <w:r w:rsidRPr="005D5606">
        <w:rPr>
          <w:color w:val="A6A6A6" w:themeColor="background1" w:themeShade="A6"/>
        </w:rPr>
        <w:t>risques</w:t>
      </w:r>
      <w:proofErr w:type="spellEnd"/>
    </w:p>
    <w:p w14:paraId="4A423E13" w14:textId="223B4857" w:rsidR="00E9446B" w:rsidRPr="005D5606" w:rsidRDefault="00E9446B" w:rsidP="00E9446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Sauf si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convenu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autrement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par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écrit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transbordement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expédition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s’effectuent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assurance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part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aux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risques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l'acheteur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(EXW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Incoterms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2010).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transfert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risques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lieu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au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moment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remise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au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commissionnaire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d’expédition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7AB33876" w14:textId="2FFFD5C7" w:rsidR="00E9446B" w:rsidRPr="005D5606" w:rsidRDefault="00E9446B" w:rsidP="00E9446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proofErr w:type="spellStart"/>
      <w:r w:rsidRPr="005D5606">
        <w:rPr>
          <w:color w:val="A6A6A6" w:themeColor="background1" w:themeShade="A6"/>
          <w:sz w:val="13"/>
          <w:szCs w:val="13"/>
        </w:rPr>
        <w:t>Toute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avarie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transport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reconnaissable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doit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être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immédiatement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indiquée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au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transporteur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lors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réception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avaries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transport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non visibles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immédiatement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doivent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être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communiquées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par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écrit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au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transporteur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délai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7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jours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suivant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livraison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0D178228" w14:textId="20CEB9BF" w:rsidR="00C369D7" w:rsidRPr="005D5606" w:rsidRDefault="00E9446B" w:rsidP="00E9446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proofErr w:type="spellStart"/>
      <w:r w:rsidRPr="005D5606">
        <w:rPr>
          <w:color w:val="A6A6A6" w:themeColor="background1" w:themeShade="A6"/>
          <w:sz w:val="13"/>
          <w:szCs w:val="13"/>
        </w:rPr>
        <w:t>L’assurance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risques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incendie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transport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conclue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demande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écrite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aux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frais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0D178229" w14:textId="162E2692" w:rsidR="002B3B00" w:rsidRPr="005D5606" w:rsidRDefault="006F4763" w:rsidP="002B3B00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spacing w:before="157"/>
        <w:outlineLvl w:val="9"/>
        <w:rPr>
          <w:color w:val="A6A6A6" w:themeColor="background1" w:themeShade="A6"/>
        </w:rPr>
      </w:pPr>
      <w:r w:rsidRPr="005D5606">
        <w:rPr>
          <w:color w:val="A6A6A6" w:themeColor="background1" w:themeShade="A6"/>
        </w:rPr>
        <w:t>Force majeure</w:t>
      </w:r>
    </w:p>
    <w:p w14:paraId="1E01C4FF" w14:textId="63DC2175" w:rsidR="00E9446B" w:rsidRPr="005D5606" w:rsidRDefault="00E9446B" w:rsidP="00E9446B">
      <w:pPr>
        <w:pStyle w:val="Listenabsatz"/>
        <w:numPr>
          <w:ilvl w:val="1"/>
          <w:numId w:val="1"/>
        </w:numPr>
        <w:kinsoku w:val="0"/>
        <w:overflowPunct w:val="0"/>
        <w:spacing w:before="6" w:line="249" w:lineRule="auto"/>
        <w:ind w:right="1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Nous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déclinons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responsabilité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cas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d'incapacité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retard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l'exécution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nos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prestations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lorsque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circonstances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résultent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force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majeure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d'autres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événements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imprévisibles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au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moment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conclusion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contrat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ne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pouvons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être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tenu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responsables (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tel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type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perturbation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l'exploitation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incendie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catastrophe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naturelle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intempérie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inondation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guerre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insurrection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acte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terroriste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retard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transport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grève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lock-out, manque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main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d'œuvre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d'énergie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matières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premières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retard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d’octroi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d’autorisations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officielles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éventuellement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nécessaires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mesures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officielles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>/gouvernementales).</w:t>
      </w:r>
    </w:p>
    <w:p w14:paraId="0D17822B" w14:textId="547DABE0" w:rsidR="002B3B00" w:rsidRPr="005D5606" w:rsidRDefault="00E9446B" w:rsidP="00E9446B">
      <w:pPr>
        <w:pStyle w:val="Listenabsatz"/>
        <w:numPr>
          <w:ilvl w:val="1"/>
          <w:numId w:val="1"/>
        </w:numPr>
        <w:kinsoku w:val="0"/>
        <w:overflowPunct w:val="0"/>
        <w:spacing w:before="6" w:line="249" w:lineRule="auto"/>
        <w:ind w:right="1"/>
        <w:rPr>
          <w:color w:val="A6A6A6" w:themeColor="background1" w:themeShade="A6"/>
          <w:spacing w:val="-4"/>
          <w:sz w:val="13"/>
          <w:szCs w:val="13"/>
        </w:rPr>
      </w:pPr>
      <w:proofErr w:type="spellStart"/>
      <w:r w:rsidRPr="005D5606">
        <w:rPr>
          <w:color w:val="A6A6A6" w:themeColor="background1" w:themeShade="A6"/>
          <w:sz w:val="13"/>
          <w:szCs w:val="13"/>
        </w:rPr>
        <w:t>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tel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événement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aussi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livraison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erronée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retardée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par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nos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fournisseurs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précédents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si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ne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pouvons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être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tenu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responsables et si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avions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conclu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contrat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réapprovisionnement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correspondant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avec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fournisseur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précédent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respectif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au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moment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conclusion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contrat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avec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client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Il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va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même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si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concluons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contrat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réapprovisionnement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immédiatement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après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transaction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avec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client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0D17822C" w14:textId="3E6462E6" w:rsidR="00C369D7" w:rsidRPr="005D5606" w:rsidRDefault="00E9446B">
      <w:pPr>
        <w:pStyle w:val="berschrift11"/>
        <w:numPr>
          <w:ilvl w:val="0"/>
          <w:numId w:val="1"/>
        </w:numPr>
        <w:tabs>
          <w:tab w:val="left" w:pos="388"/>
        </w:tabs>
        <w:kinsoku w:val="0"/>
        <w:overflowPunct w:val="0"/>
        <w:ind w:left="387"/>
        <w:outlineLvl w:val="9"/>
        <w:rPr>
          <w:color w:val="A6A6A6" w:themeColor="background1" w:themeShade="A6"/>
        </w:rPr>
      </w:pPr>
      <w:proofErr w:type="spellStart"/>
      <w:r w:rsidRPr="005D5606">
        <w:rPr>
          <w:color w:val="A6A6A6" w:themeColor="background1" w:themeShade="A6"/>
        </w:rPr>
        <w:t>Conditions</w:t>
      </w:r>
      <w:proofErr w:type="spellEnd"/>
      <w:r w:rsidRPr="005D5606">
        <w:rPr>
          <w:color w:val="A6A6A6" w:themeColor="background1" w:themeShade="A6"/>
        </w:rPr>
        <w:t xml:space="preserve"> de </w:t>
      </w:r>
      <w:proofErr w:type="spellStart"/>
      <w:r w:rsidRPr="005D5606">
        <w:rPr>
          <w:color w:val="A6A6A6" w:themeColor="background1" w:themeShade="A6"/>
        </w:rPr>
        <w:t>paiement</w:t>
      </w:r>
      <w:proofErr w:type="spellEnd"/>
      <w:r w:rsidR="00F80DC2" w:rsidRPr="005D5606">
        <w:rPr>
          <w:color w:val="A6A6A6" w:themeColor="background1" w:themeShade="A6"/>
        </w:rPr>
        <w:t xml:space="preserve"> </w:t>
      </w:r>
    </w:p>
    <w:p w14:paraId="232EFA1F" w14:textId="77777777" w:rsidR="00CB2CE5" w:rsidRDefault="00E9446B" w:rsidP="00E9446B">
      <w:pPr>
        <w:pStyle w:val="Listenabsatz"/>
        <w:numPr>
          <w:ilvl w:val="1"/>
          <w:numId w:val="1"/>
        </w:numPr>
        <w:tabs>
          <w:tab w:val="left" w:pos="387"/>
        </w:tabs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Nos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factures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régler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escompte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30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jours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suivant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date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facture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</w:p>
    <w:p w14:paraId="747592DA" w14:textId="0828E03B" w:rsidR="00E9446B" w:rsidRPr="00FC153F" w:rsidRDefault="00E9446B" w:rsidP="00E9446B">
      <w:pPr>
        <w:pStyle w:val="Listenabsatz"/>
        <w:numPr>
          <w:ilvl w:val="1"/>
          <w:numId w:val="1"/>
        </w:numPr>
        <w:tabs>
          <w:tab w:val="left" w:pos="387"/>
        </w:tabs>
        <w:kinsoku w:val="0"/>
        <w:overflowPunct w:val="0"/>
        <w:spacing w:line="249" w:lineRule="auto"/>
        <w:rPr>
          <w:color w:val="A6A6A6" w:themeColor="background1" w:themeShade="A6"/>
          <w:spacing w:val="-4"/>
          <w:sz w:val="13"/>
          <w:szCs w:val="13"/>
        </w:rPr>
      </w:pPr>
      <w:proofErr w:type="spellStart"/>
      <w:r w:rsidRPr="00FC153F">
        <w:rPr>
          <w:color w:val="A6A6A6" w:themeColor="background1" w:themeShade="A6"/>
          <w:spacing w:val="-4"/>
          <w:sz w:val="13"/>
          <w:szCs w:val="13"/>
        </w:rPr>
        <w:t>Les</w:t>
      </w:r>
      <w:proofErr w:type="spellEnd"/>
      <w:r w:rsidRPr="00FC153F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FC153F">
        <w:rPr>
          <w:color w:val="A6A6A6" w:themeColor="background1" w:themeShade="A6"/>
          <w:spacing w:val="-4"/>
          <w:sz w:val="13"/>
          <w:szCs w:val="13"/>
        </w:rPr>
        <w:t>délais</w:t>
      </w:r>
      <w:proofErr w:type="spellEnd"/>
      <w:r w:rsidRPr="00FC153F">
        <w:rPr>
          <w:color w:val="A6A6A6" w:themeColor="background1" w:themeShade="A6"/>
          <w:spacing w:val="-4"/>
          <w:sz w:val="13"/>
          <w:szCs w:val="13"/>
        </w:rPr>
        <w:t xml:space="preserve"> de </w:t>
      </w:r>
      <w:proofErr w:type="spellStart"/>
      <w:r w:rsidRPr="00FC153F">
        <w:rPr>
          <w:color w:val="A6A6A6" w:themeColor="background1" w:themeShade="A6"/>
          <w:spacing w:val="-4"/>
          <w:sz w:val="13"/>
          <w:szCs w:val="13"/>
        </w:rPr>
        <w:t>paiement</w:t>
      </w:r>
      <w:proofErr w:type="spellEnd"/>
      <w:r w:rsidRPr="00FC153F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FC153F">
        <w:rPr>
          <w:color w:val="A6A6A6" w:themeColor="background1" w:themeShade="A6"/>
          <w:spacing w:val="-4"/>
          <w:sz w:val="13"/>
          <w:szCs w:val="13"/>
        </w:rPr>
        <w:t>sont</w:t>
      </w:r>
      <w:proofErr w:type="spellEnd"/>
      <w:r w:rsidRPr="00FC153F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FC153F">
        <w:rPr>
          <w:color w:val="A6A6A6" w:themeColor="background1" w:themeShade="A6"/>
          <w:spacing w:val="-4"/>
          <w:sz w:val="13"/>
          <w:szCs w:val="13"/>
        </w:rPr>
        <w:t>comptés</w:t>
      </w:r>
      <w:proofErr w:type="spellEnd"/>
      <w:r w:rsidRPr="00FC153F">
        <w:rPr>
          <w:color w:val="A6A6A6" w:themeColor="background1" w:themeShade="A6"/>
          <w:spacing w:val="-4"/>
          <w:sz w:val="13"/>
          <w:szCs w:val="13"/>
        </w:rPr>
        <w:t xml:space="preserve"> à </w:t>
      </w:r>
      <w:proofErr w:type="spellStart"/>
      <w:r w:rsidRPr="00FC153F">
        <w:rPr>
          <w:color w:val="A6A6A6" w:themeColor="background1" w:themeShade="A6"/>
          <w:spacing w:val="-4"/>
          <w:sz w:val="13"/>
          <w:szCs w:val="13"/>
        </w:rPr>
        <w:t>partir</w:t>
      </w:r>
      <w:proofErr w:type="spellEnd"/>
      <w:r w:rsidRPr="00FC153F">
        <w:rPr>
          <w:color w:val="A6A6A6" w:themeColor="background1" w:themeShade="A6"/>
          <w:spacing w:val="-4"/>
          <w:sz w:val="13"/>
          <w:szCs w:val="13"/>
        </w:rPr>
        <w:t xml:space="preserve"> de la date </w:t>
      </w:r>
      <w:proofErr w:type="spellStart"/>
      <w:r w:rsidRPr="00FC153F">
        <w:rPr>
          <w:color w:val="A6A6A6" w:themeColor="background1" w:themeShade="A6"/>
          <w:spacing w:val="-4"/>
          <w:sz w:val="13"/>
          <w:szCs w:val="13"/>
        </w:rPr>
        <w:t>d’émission</w:t>
      </w:r>
      <w:proofErr w:type="spellEnd"/>
      <w:r w:rsidRPr="00FC153F">
        <w:rPr>
          <w:color w:val="A6A6A6" w:themeColor="background1" w:themeShade="A6"/>
          <w:spacing w:val="-4"/>
          <w:sz w:val="13"/>
          <w:szCs w:val="13"/>
        </w:rPr>
        <w:t xml:space="preserve"> de la </w:t>
      </w:r>
      <w:proofErr w:type="spellStart"/>
      <w:r w:rsidRPr="00FC153F">
        <w:rPr>
          <w:color w:val="A6A6A6" w:themeColor="background1" w:themeShade="A6"/>
          <w:spacing w:val="-4"/>
          <w:sz w:val="13"/>
          <w:szCs w:val="13"/>
        </w:rPr>
        <w:t>facture</w:t>
      </w:r>
      <w:proofErr w:type="spellEnd"/>
      <w:r w:rsidRPr="00FC153F">
        <w:rPr>
          <w:color w:val="A6A6A6" w:themeColor="background1" w:themeShade="A6"/>
          <w:spacing w:val="-4"/>
          <w:sz w:val="13"/>
          <w:szCs w:val="13"/>
        </w:rPr>
        <w:t>.</w:t>
      </w:r>
    </w:p>
    <w:p w14:paraId="51244A00" w14:textId="5E625D93" w:rsidR="00E9446B" w:rsidRPr="005D5606" w:rsidRDefault="00E9446B" w:rsidP="00E9446B">
      <w:pPr>
        <w:pStyle w:val="Listenabsatz"/>
        <w:tabs>
          <w:tab w:val="left" w:pos="387"/>
        </w:tabs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5.3 </w:t>
      </w:r>
      <w:r w:rsidRPr="005D5606">
        <w:rPr>
          <w:color w:val="A6A6A6" w:themeColor="background1" w:themeShade="A6"/>
          <w:sz w:val="13"/>
          <w:szCs w:val="13"/>
        </w:rPr>
        <w:tab/>
        <w:t xml:space="preserve">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paiement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par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lettre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change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requiert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consentement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frais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coûts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inhérents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ainsi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risque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dépassement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délais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présentation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protestation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pleinement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charge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3EA42E09" w14:textId="77777777" w:rsidR="00E9446B" w:rsidRPr="005D5606" w:rsidRDefault="00E9446B" w:rsidP="00E9446B">
      <w:pPr>
        <w:pStyle w:val="Listenabsatz"/>
        <w:tabs>
          <w:tab w:val="left" w:pos="387"/>
        </w:tabs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5.4 </w:t>
      </w:r>
      <w:r w:rsidRPr="005D5606">
        <w:rPr>
          <w:color w:val="A6A6A6" w:themeColor="background1" w:themeShade="A6"/>
          <w:sz w:val="13"/>
          <w:szCs w:val="13"/>
        </w:rPr>
        <w:tab/>
      </w:r>
      <w:proofErr w:type="spellStart"/>
      <w:r w:rsidRPr="005D5606">
        <w:rPr>
          <w:color w:val="A6A6A6" w:themeColor="background1" w:themeShade="A6"/>
          <w:sz w:val="13"/>
          <w:szCs w:val="13"/>
        </w:rPr>
        <w:t>Lors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dépassement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délai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paiement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seront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calculés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réserve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facturation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d’autres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dommages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intérêts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montant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9 % au-dessus du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taux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d’intérêt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base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vigueur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plus le forfait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légal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40 EUR.</w:t>
      </w:r>
    </w:p>
    <w:p w14:paraId="0D178232" w14:textId="1AD0283B" w:rsidR="00C369D7" w:rsidRPr="005D5606" w:rsidRDefault="00E9446B" w:rsidP="00E9446B">
      <w:pPr>
        <w:pStyle w:val="Listenabsatz"/>
        <w:tabs>
          <w:tab w:val="left" w:pos="387"/>
        </w:tabs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5.5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Seules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créances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incontestées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ayant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force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exécutoire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autorisent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éventuelle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compensation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0D178233" w14:textId="46BBD257" w:rsidR="00C369D7" w:rsidRPr="005D5606" w:rsidRDefault="00E9446B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ind w:hanging="283"/>
        <w:outlineLvl w:val="9"/>
        <w:rPr>
          <w:color w:val="A6A6A6" w:themeColor="background1" w:themeShade="A6"/>
        </w:rPr>
      </w:pPr>
      <w:proofErr w:type="spellStart"/>
      <w:r w:rsidRPr="005D5606">
        <w:rPr>
          <w:color w:val="A6A6A6" w:themeColor="background1" w:themeShade="A6"/>
        </w:rPr>
        <w:t>Responsabilité</w:t>
      </w:r>
      <w:proofErr w:type="spellEnd"/>
      <w:r w:rsidRPr="005D5606">
        <w:rPr>
          <w:color w:val="A6A6A6" w:themeColor="background1" w:themeShade="A6"/>
        </w:rPr>
        <w:t xml:space="preserve"> des </w:t>
      </w:r>
      <w:proofErr w:type="spellStart"/>
      <w:r w:rsidRPr="005D5606">
        <w:rPr>
          <w:color w:val="A6A6A6" w:themeColor="background1" w:themeShade="A6"/>
        </w:rPr>
        <w:t>défauts</w:t>
      </w:r>
      <w:proofErr w:type="spellEnd"/>
    </w:p>
    <w:p w14:paraId="36112A6F" w14:textId="1B65BB67" w:rsidR="00E9446B" w:rsidRPr="005D5606" w:rsidRDefault="00E9446B" w:rsidP="00E9446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A6A6A6" w:themeColor="background1" w:themeShade="A6"/>
          <w:sz w:val="13"/>
          <w:szCs w:val="13"/>
        </w:rPr>
      </w:pPr>
      <w:proofErr w:type="spellStart"/>
      <w:r w:rsidRPr="005D5606">
        <w:rPr>
          <w:color w:val="A6A6A6" w:themeColor="background1" w:themeShade="A6"/>
          <w:sz w:val="13"/>
          <w:szCs w:val="13"/>
        </w:rPr>
        <w:t>Toutes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indications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qualification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traitement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applicabilité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nos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produits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consultation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technique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autres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indications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fournies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âme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conscience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ne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dispensent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aucunement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réaliser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propres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contrôles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essais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2BAB9A4C" w14:textId="4DF0345C" w:rsidR="00E9446B" w:rsidRPr="005D5606" w:rsidRDefault="00E9446B" w:rsidP="00E9446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A6A6A6" w:themeColor="background1" w:themeShade="A6"/>
          <w:sz w:val="13"/>
          <w:szCs w:val="13"/>
        </w:rPr>
      </w:pP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tenu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contrôler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immédiatement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après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réception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afin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vérifier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si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elle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complète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correcte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ne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présente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aucun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défaut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défaut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apparent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donne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droit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garantie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s’il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communiqué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par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écrit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délai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semaine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après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réception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pense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avoir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raison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réclamation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concernant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traitement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travail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usinage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proscrit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traitée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travaillée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usinée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bien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qu’un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défaut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reconnu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aurait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dû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être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reconnu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responsabilité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éventuels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dommages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immédiats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futurs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résultant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n’est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engagée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injonction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demande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devra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être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retournée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partie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forme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d’échantillons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défectueux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examen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4BDD02F8" w14:textId="00156E9D" w:rsidR="00E9446B" w:rsidRPr="00FC153F" w:rsidRDefault="00E9446B" w:rsidP="00FC153F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cas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défaut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cachés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demande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recours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ne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pourra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être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considération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si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client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apporte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preuve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sous-sol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impeccable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l’utilisation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colles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adaptées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du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traitement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règles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sollicitation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normale (c’est-à-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dire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habituelle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l’usage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recommandé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reconnaissable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fabricant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étant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légitime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) et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soins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corrects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variation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faible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habituelle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commerce</w:t>
      </w:r>
      <w:proofErr w:type="spellEnd"/>
      <w:r w:rsidR="00FC153F">
        <w:rPr>
          <w:color w:val="A6A6A6" w:themeColor="background1" w:themeShade="A6"/>
          <w:sz w:val="13"/>
          <w:szCs w:val="13"/>
        </w:rPr>
        <w:t xml:space="preserve"> </w:t>
      </w:r>
      <w:r w:rsidRPr="00FC153F">
        <w:rPr>
          <w:color w:val="A6A6A6" w:themeColor="background1" w:themeShade="A6"/>
          <w:sz w:val="13"/>
          <w:szCs w:val="13"/>
        </w:rPr>
        <w:t xml:space="preserve">de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qualité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poids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dimension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épaisseur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largeur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équipement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dessin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couleur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n’est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pas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considérée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comme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un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défaut</w:t>
      </w:r>
      <w:proofErr w:type="spellEnd"/>
      <w:r w:rsidRPr="00FC153F">
        <w:rPr>
          <w:color w:val="A6A6A6" w:themeColor="background1" w:themeShade="A6"/>
          <w:sz w:val="13"/>
          <w:szCs w:val="13"/>
        </w:rPr>
        <w:t>.</w:t>
      </w:r>
    </w:p>
    <w:p w14:paraId="7A4F9EC1" w14:textId="5199EF4B" w:rsidR="00E9446B" w:rsidRPr="005D5606" w:rsidRDefault="00E9446B" w:rsidP="00E41CA2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cas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défauts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d'abord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livrerons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défaut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droit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résultant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d'un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vice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prescrit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délai</w:t>
      </w:r>
      <w:proofErr w:type="spellEnd"/>
      <w:r w:rsidR="00E41CA2" w:rsidRPr="005D5606">
        <w:rPr>
          <w:color w:val="A6A6A6" w:themeColor="background1" w:themeShade="A6"/>
          <w:sz w:val="13"/>
          <w:szCs w:val="13"/>
        </w:rPr>
        <w:t xml:space="preserve"> </w:t>
      </w:r>
      <w:r w:rsidRPr="005D5606">
        <w:rPr>
          <w:color w:val="A6A6A6" w:themeColor="background1" w:themeShade="A6"/>
          <w:sz w:val="13"/>
          <w:szCs w:val="13"/>
        </w:rPr>
        <w:t xml:space="preserve">de 2 ans après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livraison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L’article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438 al. 1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2 du Code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civil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allemand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n’en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serait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affecté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Nous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réservons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toutefois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divergence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insignifiante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couleurs</w:t>
      </w:r>
      <w:proofErr w:type="spellEnd"/>
      <w:r w:rsidRPr="005D5606">
        <w:rPr>
          <w:color w:val="A6A6A6" w:themeColor="background1" w:themeShade="A6"/>
          <w:sz w:val="13"/>
          <w:szCs w:val="13"/>
        </w:rPr>
        <w:t>,</w:t>
      </w:r>
      <w:r w:rsidR="00E41CA2"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livraison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remplacement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provenant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même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production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charge</w:t>
      </w:r>
      <w:proofErr w:type="spellEnd"/>
      <w:r w:rsidR="00E41CA2"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livraison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initiale ne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pouvant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être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garantie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Lors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livraisons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revêtements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sol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mêmes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couleurs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faibles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divergences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couleur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peuvent</w:t>
      </w:r>
      <w:proofErr w:type="spellEnd"/>
      <w:r w:rsidR="00E41CA2"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apparaître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raison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procédés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fabrication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différents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Ces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divergences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ne</w:t>
      </w:r>
      <w:r w:rsidR="00E41CA2"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donnent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droit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réclamation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5B8A53D0" w14:textId="2AC5564F" w:rsidR="00E9446B" w:rsidRPr="005D5606" w:rsidRDefault="00E9446B" w:rsidP="00E9446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A6A6A6" w:themeColor="background1" w:themeShade="A6"/>
          <w:sz w:val="13"/>
          <w:szCs w:val="13"/>
        </w:rPr>
      </w:pPr>
      <w:proofErr w:type="spellStart"/>
      <w:r w:rsidRPr="005D5606">
        <w:rPr>
          <w:color w:val="A6A6A6" w:themeColor="background1" w:themeShade="A6"/>
          <w:sz w:val="13"/>
          <w:szCs w:val="13"/>
        </w:rPr>
        <w:t>Si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incorporée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attachée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chose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selon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sa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nature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emploi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entachée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d’un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vice,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écarterons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cette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incorporons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attacherons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exempte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vice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discrétion,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mandateront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tiers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faire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cela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rembourseront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dépenses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nécessaires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cette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mesure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</w:p>
    <w:p w14:paraId="79C3D068" w14:textId="12A93328" w:rsidR="00294913" w:rsidRPr="005D5606" w:rsidRDefault="00E9446B" w:rsidP="00E9446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cas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revente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recours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selon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l’article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445a du Code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civil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allemand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exclu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0D178238" w14:textId="0A02693F" w:rsidR="00C369D7" w:rsidRPr="005D5606" w:rsidRDefault="00E41CA2">
      <w:pPr>
        <w:pStyle w:val="berschrift11"/>
        <w:numPr>
          <w:ilvl w:val="0"/>
          <w:numId w:val="1"/>
        </w:numPr>
        <w:tabs>
          <w:tab w:val="left" w:pos="389"/>
        </w:tabs>
        <w:kinsoku w:val="0"/>
        <w:overflowPunct w:val="0"/>
        <w:ind w:left="388"/>
        <w:outlineLvl w:val="9"/>
        <w:rPr>
          <w:color w:val="A6A6A6" w:themeColor="background1" w:themeShade="A6"/>
        </w:rPr>
      </w:pPr>
      <w:proofErr w:type="spellStart"/>
      <w:r w:rsidRPr="005D5606">
        <w:rPr>
          <w:color w:val="A6A6A6" w:themeColor="background1" w:themeShade="A6"/>
        </w:rPr>
        <w:t>Dommages</w:t>
      </w:r>
      <w:proofErr w:type="spellEnd"/>
      <w:r w:rsidRPr="005D5606">
        <w:rPr>
          <w:color w:val="A6A6A6" w:themeColor="background1" w:themeShade="A6"/>
        </w:rPr>
        <w:t xml:space="preserve"> et </w:t>
      </w:r>
      <w:proofErr w:type="spellStart"/>
      <w:r w:rsidRPr="005D5606">
        <w:rPr>
          <w:color w:val="A6A6A6" w:themeColor="background1" w:themeShade="A6"/>
        </w:rPr>
        <w:t>intérêts</w:t>
      </w:r>
      <w:proofErr w:type="spellEnd"/>
    </w:p>
    <w:p w14:paraId="473373C3" w14:textId="5DF15DA7" w:rsidR="00E41CA2" w:rsidRPr="005D5606" w:rsidRDefault="00E41CA2" w:rsidP="00E41CA2">
      <w:pPr>
        <w:pStyle w:val="Listenabsatz"/>
        <w:numPr>
          <w:ilvl w:val="1"/>
          <w:numId w:val="1"/>
        </w:numPr>
        <w:kinsoku w:val="0"/>
        <w:overflowPunct w:val="0"/>
        <w:spacing w:before="5" w:line="249" w:lineRule="auto"/>
        <w:ind w:right="102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7.1 Notre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responsabilité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cas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négligence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légère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part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celle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nos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représentants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cadres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simples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agents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d’exécution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exclue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dehors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cas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: </w:t>
      </w:r>
    </w:p>
    <w:p w14:paraId="6876193C" w14:textId="2718F527" w:rsidR="00E41CA2" w:rsidRPr="005D5606" w:rsidRDefault="00E41CA2" w:rsidP="00E41CA2">
      <w:pPr>
        <w:pStyle w:val="Listenabsatz"/>
        <w:kinsoku w:val="0"/>
        <w:overflowPunct w:val="0"/>
        <w:spacing w:before="5" w:line="249" w:lineRule="auto"/>
        <w:ind w:right="102" w:firstLine="0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a)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responsabilité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vertu de la Loi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concernant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responsabilité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du fait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produits</w:t>
      </w:r>
      <w:proofErr w:type="spellEnd"/>
      <w:r w:rsidRPr="005D5606">
        <w:rPr>
          <w:color w:val="A6A6A6" w:themeColor="background1" w:themeShade="A6"/>
          <w:sz w:val="13"/>
          <w:szCs w:val="13"/>
        </w:rPr>
        <w:t>;</w:t>
      </w:r>
    </w:p>
    <w:p w14:paraId="15B2FDF2" w14:textId="77777777" w:rsidR="00E41CA2" w:rsidRPr="005D5606" w:rsidRDefault="00E41CA2" w:rsidP="00E41CA2">
      <w:pPr>
        <w:pStyle w:val="Listenabsatz"/>
        <w:kinsoku w:val="0"/>
        <w:overflowPunct w:val="0"/>
        <w:spacing w:before="5" w:line="249" w:lineRule="auto"/>
        <w:ind w:right="102" w:firstLine="0"/>
        <w:rPr>
          <w:color w:val="A6A6A6" w:themeColor="background1" w:themeShade="A6"/>
          <w:spacing w:val="-3"/>
          <w:sz w:val="13"/>
          <w:szCs w:val="13"/>
        </w:rPr>
      </w:pPr>
      <w:r w:rsidRPr="005D5606">
        <w:rPr>
          <w:color w:val="A6A6A6" w:themeColor="background1" w:themeShade="A6"/>
          <w:spacing w:val="-3"/>
          <w:sz w:val="13"/>
          <w:szCs w:val="13"/>
        </w:rPr>
        <w:t>b) de non-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respect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d’obligations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contractuelles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gramStart"/>
      <w:r w:rsidRPr="005D5606">
        <w:rPr>
          <w:color w:val="A6A6A6" w:themeColor="background1" w:themeShade="A6"/>
          <w:spacing w:val="-3"/>
          <w:sz w:val="13"/>
          <w:szCs w:val="13"/>
        </w:rPr>
        <w:t>essentielles</w:t>
      </w:r>
      <w:proofErr w:type="gram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, c’est à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dire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telles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obligations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dont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l'exécution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base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même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d'une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mise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œuvre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correcte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du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contrat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et au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respect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desquelles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fait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confiance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peut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légitimement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s'attendre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;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cependant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, la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responsabilité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sera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limitée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cas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aux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dommages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typiquement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encourus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prévisibles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>;</w:t>
      </w:r>
    </w:p>
    <w:p w14:paraId="362B3C99" w14:textId="43755561" w:rsidR="00E41CA2" w:rsidRPr="005D5606" w:rsidRDefault="00E41CA2" w:rsidP="00E41CA2">
      <w:pPr>
        <w:pStyle w:val="Listenabsatz"/>
        <w:kinsoku w:val="0"/>
        <w:overflowPunct w:val="0"/>
        <w:spacing w:before="5" w:line="249" w:lineRule="auto"/>
        <w:ind w:right="102" w:firstLine="0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c)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d’atteintes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vie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santé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d’autres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droits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fondamentaux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comparables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essentiels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; </w:t>
      </w:r>
    </w:p>
    <w:p w14:paraId="7D9F6B02" w14:textId="2B3DCAC6" w:rsidR="00E41CA2" w:rsidRPr="005D5606" w:rsidRDefault="00E41CA2" w:rsidP="00E41CA2">
      <w:pPr>
        <w:pStyle w:val="Listenabsatz"/>
        <w:kinsoku w:val="0"/>
        <w:overflowPunct w:val="0"/>
        <w:spacing w:before="5" w:line="249" w:lineRule="auto"/>
        <w:ind w:right="102" w:firstLine="0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>d) de non-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respect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garanties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expresses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propriétés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produit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d’autres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garanties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0D17823E" w14:textId="27DA852D" w:rsidR="00C369D7" w:rsidRPr="005D5606" w:rsidRDefault="00E41CA2" w:rsidP="00E41CA2">
      <w:pPr>
        <w:pStyle w:val="Listenabsatz"/>
        <w:numPr>
          <w:ilvl w:val="1"/>
          <w:numId w:val="1"/>
        </w:numPr>
        <w:kinsoku w:val="0"/>
        <w:overflowPunct w:val="0"/>
        <w:spacing w:before="5" w:line="249" w:lineRule="auto"/>
        <w:ind w:right="102"/>
        <w:rPr>
          <w:color w:val="A6A6A6" w:themeColor="background1" w:themeShade="A6"/>
          <w:sz w:val="13"/>
          <w:szCs w:val="13"/>
        </w:rPr>
      </w:pPr>
      <w:proofErr w:type="spellStart"/>
      <w:r w:rsidRPr="005D5606">
        <w:rPr>
          <w:color w:val="A6A6A6" w:themeColor="background1" w:themeShade="A6"/>
          <w:sz w:val="13"/>
          <w:szCs w:val="13"/>
        </w:rPr>
        <w:t>Tant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responsabilité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exclue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limitée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prévu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ci-dessus,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cela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vaut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aussi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responsabilité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personnelle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nos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représentants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légaux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cadres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supérieurs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agents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d'exécution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  <w:r w:rsidR="000C7A11" w:rsidRPr="005D5606">
        <w:rPr>
          <w:color w:val="A6A6A6" w:themeColor="background1" w:themeShade="A6"/>
          <w:sz w:val="13"/>
          <w:szCs w:val="13"/>
        </w:rPr>
        <w:t xml:space="preserve"> </w:t>
      </w:r>
    </w:p>
    <w:p w14:paraId="0D17823F" w14:textId="0746E719" w:rsidR="00C369D7" w:rsidRPr="005D5606" w:rsidRDefault="00CF504D">
      <w:pPr>
        <w:pStyle w:val="berschrift11"/>
        <w:numPr>
          <w:ilvl w:val="0"/>
          <w:numId w:val="1"/>
        </w:numPr>
        <w:tabs>
          <w:tab w:val="left" w:pos="388"/>
        </w:tabs>
        <w:kinsoku w:val="0"/>
        <w:overflowPunct w:val="0"/>
        <w:ind w:left="387"/>
        <w:outlineLvl w:val="9"/>
        <w:rPr>
          <w:color w:val="A6A6A6" w:themeColor="background1" w:themeShade="A6"/>
        </w:rPr>
      </w:pPr>
      <w:proofErr w:type="spellStart"/>
      <w:r w:rsidRPr="005D5606">
        <w:rPr>
          <w:color w:val="A6A6A6" w:themeColor="background1" w:themeShade="A6"/>
        </w:rPr>
        <w:t>Réserve</w:t>
      </w:r>
      <w:proofErr w:type="spellEnd"/>
      <w:r w:rsidRPr="005D5606">
        <w:rPr>
          <w:color w:val="A6A6A6" w:themeColor="background1" w:themeShade="A6"/>
        </w:rPr>
        <w:t xml:space="preserve"> de </w:t>
      </w:r>
      <w:proofErr w:type="spellStart"/>
      <w:r w:rsidRPr="005D5606">
        <w:rPr>
          <w:color w:val="A6A6A6" w:themeColor="background1" w:themeShade="A6"/>
        </w:rPr>
        <w:t>propriété</w:t>
      </w:r>
      <w:proofErr w:type="spellEnd"/>
      <w:r w:rsidR="003D37CE" w:rsidRPr="005D5606">
        <w:rPr>
          <w:color w:val="A6A6A6" w:themeColor="background1" w:themeShade="A6"/>
        </w:rPr>
        <w:t xml:space="preserve"> </w:t>
      </w:r>
    </w:p>
    <w:p w14:paraId="2782650F" w14:textId="4DC83133" w:rsidR="00CF504D" w:rsidRPr="005D5606" w:rsidRDefault="00CF504D" w:rsidP="00CF504D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vendue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reste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propriété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jusqu’au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paiement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complet de nos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créances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résultant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relation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commerciale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avec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autorisé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disposer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achetée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cadre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démarche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commerciale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correcte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654518EC" w14:textId="17F23CDC" w:rsidR="00CF504D" w:rsidRPr="005D5606" w:rsidRDefault="00CF504D" w:rsidP="00CF504D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pacing w:val="-3"/>
          <w:sz w:val="13"/>
          <w:szCs w:val="13"/>
        </w:rPr>
      </w:pPr>
      <w:r w:rsidRPr="005D5606">
        <w:rPr>
          <w:color w:val="A6A6A6" w:themeColor="background1" w:themeShade="A6"/>
          <w:spacing w:val="-3"/>
          <w:sz w:val="13"/>
          <w:szCs w:val="13"/>
        </w:rPr>
        <w:t xml:space="preserve">La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réserve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propriété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s’applique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aussi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sa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pleine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valeur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aux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produits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résultant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du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traitement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, mélange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combinaison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marchandises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sommes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considérés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comme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fabricants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. En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cas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traitement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, de mélange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combinaison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avec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des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marchandises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tiers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disposant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également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d’un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droit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propriété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copropriété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s’élève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aux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rapports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facturation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proportionnels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des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marchandises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façonnées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>.</w:t>
      </w:r>
    </w:p>
    <w:p w14:paraId="001FE170" w14:textId="466A6889" w:rsidR="00CF504D" w:rsidRPr="00FC153F" w:rsidRDefault="00CF504D" w:rsidP="00FC153F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proofErr w:type="spellStart"/>
      <w:r w:rsidRPr="005D5606">
        <w:rPr>
          <w:color w:val="A6A6A6" w:themeColor="background1" w:themeShade="A6"/>
          <w:sz w:val="13"/>
          <w:szCs w:val="13"/>
        </w:rPr>
        <w:t>Afin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garantir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propriété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cède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d’emblée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intégralité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selon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montant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part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propriété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éventuelle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(cf.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point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8.2),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créance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l’encontre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tiers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résultant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revente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Il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autorisé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recouvrer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créances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compte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jusqu’à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dénonciation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arrêt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paiement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n’est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habilité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céder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créances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par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affacturage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même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l’objectif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recouvrement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moins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ne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soit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établie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même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temps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l’obligation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l’affactureur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céder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directement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contre-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prestation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hauteur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part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créance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qu’il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existe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créances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</w:t>
      </w:r>
      <w:r w:rsidR="00FC153F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notre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côté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 à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l’encontre</w:t>
      </w:r>
      <w:proofErr w:type="spellEnd"/>
      <w:r w:rsidRPr="00FC153F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FC153F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FC153F">
        <w:rPr>
          <w:color w:val="A6A6A6" w:themeColor="background1" w:themeShade="A6"/>
          <w:sz w:val="13"/>
          <w:szCs w:val="13"/>
        </w:rPr>
        <w:t>.</w:t>
      </w:r>
    </w:p>
    <w:p w14:paraId="0D178243" w14:textId="1518B900" w:rsidR="00C369D7" w:rsidRPr="005D5606" w:rsidRDefault="00CF504D" w:rsidP="00CF504D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proofErr w:type="spellStart"/>
      <w:r w:rsidRPr="005D5606">
        <w:rPr>
          <w:color w:val="A6A6A6" w:themeColor="background1" w:themeShade="A6"/>
          <w:sz w:val="13"/>
          <w:szCs w:val="13"/>
        </w:rPr>
        <w:t>Tout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accès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tiers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à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créances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appartenant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doit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immédiatement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être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communiqué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par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par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courrier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recommandé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Avant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paiement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complet de nos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créances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marchandises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créances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substituant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ne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peuvent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n'être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engagées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au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profit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tiers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transférées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ni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cédées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0D178246" w14:textId="64966044" w:rsidR="00C369D7" w:rsidRPr="005D5606" w:rsidRDefault="00CF504D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outlineLvl w:val="9"/>
        <w:rPr>
          <w:color w:val="A6A6A6" w:themeColor="background1" w:themeShade="A6"/>
        </w:rPr>
      </w:pPr>
      <w:proofErr w:type="spellStart"/>
      <w:r w:rsidRPr="005D5606">
        <w:rPr>
          <w:color w:val="A6A6A6" w:themeColor="background1" w:themeShade="A6"/>
        </w:rPr>
        <w:t>Lieu</w:t>
      </w:r>
      <w:proofErr w:type="spellEnd"/>
      <w:r w:rsidRPr="005D5606">
        <w:rPr>
          <w:color w:val="A6A6A6" w:themeColor="background1" w:themeShade="A6"/>
        </w:rPr>
        <w:t xml:space="preserve"> </w:t>
      </w:r>
      <w:proofErr w:type="spellStart"/>
      <w:r w:rsidRPr="005D5606">
        <w:rPr>
          <w:color w:val="A6A6A6" w:themeColor="background1" w:themeShade="A6"/>
        </w:rPr>
        <w:t>d’exécution</w:t>
      </w:r>
      <w:proofErr w:type="spellEnd"/>
      <w:r w:rsidRPr="005D5606">
        <w:rPr>
          <w:color w:val="A6A6A6" w:themeColor="background1" w:themeShade="A6"/>
        </w:rPr>
        <w:t xml:space="preserve"> et </w:t>
      </w:r>
      <w:proofErr w:type="spellStart"/>
      <w:r w:rsidRPr="005D5606">
        <w:rPr>
          <w:color w:val="A6A6A6" w:themeColor="background1" w:themeShade="A6"/>
        </w:rPr>
        <w:t>tribunal</w:t>
      </w:r>
      <w:proofErr w:type="spellEnd"/>
      <w:r w:rsidRPr="005D5606">
        <w:rPr>
          <w:color w:val="A6A6A6" w:themeColor="background1" w:themeShade="A6"/>
        </w:rPr>
        <w:t xml:space="preserve"> </w:t>
      </w:r>
      <w:proofErr w:type="spellStart"/>
      <w:r w:rsidRPr="005D5606">
        <w:rPr>
          <w:color w:val="A6A6A6" w:themeColor="background1" w:themeShade="A6"/>
        </w:rPr>
        <w:t>compétent</w:t>
      </w:r>
      <w:proofErr w:type="spellEnd"/>
    </w:p>
    <w:p w14:paraId="5DA8AE4B" w14:textId="29B98E73" w:rsidR="00CF504D" w:rsidRPr="005D5606" w:rsidRDefault="00CF504D" w:rsidP="00CF504D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droit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la République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fédérale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d’Allemagne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s’applique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aux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conditions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commerciales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à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l’ensemble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des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relations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juridiques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existant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entre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nous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L’applicabilité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du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droit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d’achat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international uniforme (CISG)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exclue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p w14:paraId="2B3355DA" w14:textId="27ECA86F" w:rsidR="00CF504D" w:rsidRPr="005D5606" w:rsidRDefault="00CF504D" w:rsidP="00CF504D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lieu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d’exécution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pour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livraison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paiement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Cologne.</w:t>
      </w:r>
    </w:p>
    <w:p w14:paraId="789DB65A" w14:textId="0CB8320C" w:rsidR="00CF504D" w:rsidRPr="005D5606" w:rsidRDefault="00CF504D" w:rsidP="00CF504D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pacing w:val="-3"/>
          <w:sz w:val="13"/>
          <w:szCs w:val="13"/>
        </w:rPr>
      </w:pP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Indépendamment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de la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valeur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du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litige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pour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tous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litiges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émanant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directement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indirectement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du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rapport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contractuel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, le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tribunal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compétent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,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la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mesure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où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l’acheteur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est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pacing w:val="-3"/>
          <w:sz w:val="13"/>
          <w:szCs w:val="13"/>
        </w:rPr>
        <w:t>commerçant</w:t>
      </w:r>
      <w:proofErr w:type="spellEnd"/>
      <w:r w:rsidRPr="005D5606">
        <w:rPr>
          <w:color w:val="A6A6A6" w:themeColor="background1" w:themeShade="A6"/>
          <w:spacing w:val="-3"/>
          <w:sz w:val="13"/>
          <w:szCs w:val="13"/>
        </w:rPr>
        <w:t xml:space="preserve">, Cologne. </w:t>
      </w:r>
    </w:p>
    <w:p w14:paraId="0D17824A" w14:textId="68E8E33C" w:rsidR="00C369D7" w:rsidRPr="005D5606" w:rsidRDefault="00CF504D" w:rsidP="00CF504D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r w:rsidRPr="005D5606">
        <w:rPr>
          <w:color w:val="A6A6A6" w:themeColor="background1" w:themeShade="A6"/>
          <w:sz w:val="13"/>
          <w:szCs w:val="13"/>
        </w:rPr>
        <w:t xml:space="preserve">Si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disposition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conditions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commerciales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une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disposition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dans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cadre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d‘autres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conventions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devait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se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révéler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nulle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ou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le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devenir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, la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validité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de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toutes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les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autres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dispositions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et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conventions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n’en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serait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aucunement</w:t>
      </w:r>
      <w:proofErr w:type="spellEnd"/>
      <w:r w:rsidRPr="005D5606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D5606">
        <w:rPr>
          <w:color w:val="A6A6A6" w:themeColor="background1" w:themeShade="A6"/>
          <w:sz w:val="13"/>
          <w:szCs w:val="13"/>
        </w:rPr>
        <w:t>affectée</w:t>
      </w:r>
      <w:proofErr w:type="spellEnd"/>
      <w:r w:rsidRPr="005D5606">
        <w:rPr>
          <w:color w:val="A6A6A6" w:themeColor="background1" w:themeShade="A6"/>
          <w:sz w:val="13"/>
          <w:szCs w:val="13"/>
        </w:rPr>
        <w:t>.</w:t>
      </w:r>
    </w:p>
    <w:sectPr w:rsidR="00C369D7" w:rsidRPr="005D5606" w:rsidSect="002C380B">
      <w:type w:val="continuous"/>
      <w:pgSz w:w="11910" w:h="16850"/>
      <w:pgMar w:top="1440" w:right="1080" w:bottom="1440" w:left="1080" w:header="142" w:footer="720" w:gutter="0"/>
      <w:cols w:num="2" w:space="720" w:equalWidth="0">
        <w:col w:w="4745" w:space="528"/>
        <w:col w:w="447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AD2D" w14:textId="77777777" w:rsidR="00A323EF" w:rsidRDefault="00A323EF" w:rsidP="008D0849">
      <w:r>
        <w:separator/>
      </w:r>
    </w:p>
  </w:endnote>
  <w:endnote w:type="continuationSeparator" w:id="0">
    <w:p w14:paraId="187DEED6" w14:textId="77777777" w:rsidR="00A323EF" w:rsidRDefault="00A323EF" w:rsidP="008D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BDC7" w14:textId="77777777" w:rsidR="00A323EF" w:rsidRDefault="00A323EF" w:rsidP="008D0849">
      <w:r>
        <w:separator/>
      </w:r>
    </w:p>
  </w:footnote>
  <w:footnote w:type="continuationSeparator" w:id="0">
    <w:p w14:paraId="297CE5FB" w14:textId="77777777" w:rsidR="00A323EF" w:rsidRDefault="00A323EF" w:rsidP="008D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5299" w14:textId="77777777" w:rsidR="00921F96" w:rsidRDefault="008D0849" w:rsidP="00E57258">
    <w:pPr>
      <w:pStyle w:val="Kopfzeile"/>
      <w:tabs>
        <w:tab w:val="clear" w:pos="4536"/>
        <w:tab w:val="center" w:pos="4820"/>
      </w:tabs>
      <w:rPr>
        <w:noProof/>
      </w:rPr>
    </w:pPr>
    <w:r>
      <w:tab/>
    </w:r>
  </w:p>
  <w:p w14:paraId="7FD13BDF" w14:textId="77777777" w:rsidR="00921F96" w:rsidRDefault="00921F96" w:rsidP="00E57258">
    <w:pPr>
      <w:pStyle w:val="Kopfzeile"/>
      <w:tabs>
        <w:tab w:val="clear" w:pos="4536"/>
        <w:tab w:val="center" w:pos="4820"/>
      </w:tabs>
    </w:pPr>
  </w:p>
  <w:p w14:paraId="366815FC" w14:textId="77777777" w:rsidR="00921F96" w:rsidRDefault="00921F96" w:rsidP="00E57258">
    <w:pPr>
      <w:pStyle w:val="Kopfzeile"/>
      <w:tabs>
        <w:tab w:val="clear" w:pos="4536"/>
        <w:tab w:val="center" w:pos="4820"/>
      </w:tabs>
    </w:pPr>
  </w:p>
  <w:p w14:paraId="0D17824F" w14:textId="23E57FE4" w:rsidR="008D0849" w:rsidRDefault="008D0849" w:rsidP="00E57258">
    <w:pPr>
      <w:pStyle w:val="Kopfzeile"/>
      <w:tabs>
        <w:tab w:val="clear" w:pos="4536"/>
        <w:tab w:val="center" w:pos="48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336AB544"/>
    <w:lvl w:ilvl="0">
      <w:start w:val="1"/>
      <w:numFmt w:val="decimal"/>
      <w:lvlText w:val="%1"/>
      <w:lvlJc w:val="left"/>
      <w:pPr>
        <w:ind w:left="386" w:hanging="284"/>
      </w:pPr>
      <w:rPr>
        <w:rFonts w:ascii="Arial" w:hAnsi="Arial" w:cs="Times New Roman" w:hint="default"/>
        <w:b/>
        <w:bCs/>
        <w:color w:val="A6A6A6" w:themeColor="background1" w:themeShade="A6"/>
        <w:w w:val="98"/>
        <w:sz w:val="13"/>
        <w:szCs w:val="13"/>
      </w:rPr>
    </w:lvl>
    <w:lvl w:ilvl="1">
      <w:start w:val="1"/>
      <w:numFmt w:val="decimal"/>
      <w:lvlText w:val="%1.%2"/>
      <w:lvlJc w:val="left"/>
      <w:pPr>
        <w:ind w:left="386" w:hanging="273"/>
      </w:pPr>
      <w:rPr>
        <w:rFonts w:ascii="Arial" w:hAnsi="Arial" w:cs="Times New Roman" w:hint="default"/>
        <w:b w:val="0"/>
        <w:bCs w:val="0"/>
        <w:color w:val="A6A6A6" w:themeColor="background1" w:themeShade="A6"/>
        <w:w w:val="94"/>
        <w:sz w:val="13"/>
        <w:szCs w:val="13"/>
      </w:rPr>
    </w:lvl>
    <w:lvl w:ilvl="2">
      <w:numFmt w:val="bullet"/>
      <w:lvlText w:val="Ô"/>
      <w:lvlJc w:val="left"/>
      <w:pPr>
        <w:ind w:left="0" w:hanging="200"/>
      </w:pPr>
      <w:rPr>
        <w:rFonts w:hint="default"/>
      </w:rPr>
    </w:lvl>
    <w:lvl w:ilvl="3">
      <w:numFmt w:val="bullet"/>
      <w:lvlText w:val="Ô"/>
      <w:lvlJc w:val="left"/>
      <w:pPr>
        <w:ind w:left="0" w:hanging="200"/>
      </w:pPr>
      <w:rPr>
        <w:rFonts w:hint="default"/>
      </w:rPr>
    </w:lvl>
    <w:lvl w:ilvl="4">
      <w:numFmt w:val="bullet"/>
      <w:lvlText w:val="Ô"/>
      <w:lvlJc w:val="left"/>
      <w:pPr>
        <w:ind w:left="0" w:hanging="200"/>
      </w:pPr>
      <w:rPr>
        <w:rFonts w:hint="default"/>
      </w:rPr>
    </w:lvl>
    <w:lvl w:ilvl="5">
      <w:numFmt w:val="bullet"/>
      <w:lvlText w:val="Ô"/>
      <w:lvlJc w:val="left"/>
      <w:pPr>
        <w:ind w:left="0" w:hanging="200"/>
      </w:pPr>
      <w:rPr>
        <w:rFonts w:hint="default"/>
      </w:rPr>
    </w:lvl>
    <w:lvl w:ilvl="6">
      <w:numFmt w:val="bullet"/>
      <w:lvlText w:val="Ô"/>
      <w:lvlJc w:val="left"/>
      <w:pPr>
        <w:ind w:left="0" w:hanging="200"/>
      </w:pPr>
      <w:rPr>
        <w:rFonts w:hint="default"/>
      </w:rPr>
    </w:lvl>
    <w:lvl w:ilvl="7">
      <w:numFmt w:val="bullet"/>
      <w:lvlText w:val="Ô"/>
      <w:lvlJc w:val="left"/>
      <w:pPr>
        <w:ind w:left="0" w:hanging="200"/>
      </w:pPr>
      <w:rPr>
        <w:rFonts w:hint="default"/>
      </w:rPr>
    </w:lvl>
    <w:lvl w:ilvl="8">
      <w:numFmt w:val="bullet"/>
      <w:lvlText w:val="Ô"/>
      <w:lvlJc w:val="left"/>
      <w:pPr>
        <w:ind w:left="0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9D"/>
    <w:rsid w:val="0007040A"/>
    <w:rsid w:val="00081061"/>
    <w:rsid w:val="000C7A11"/>
    <w:rsid w:val="00101839"/>
    <w:rsid w:val="001969BF"/>
    <w:rsid w:val="001A7C08"/>
    <w:rsid w:val="001E5BCC"/>
    <w:rsid w:val="00214604"/>
    <w:rsid w:val="0022466B"/>
    <w:rsid w:val="00234925"/>
    <w:rsid w:val="00294913"/>
    <w:rsid w:val="002A109D"/>
    <w:rsid w:val="002B3B00"/>
    <w:rsid w:val="002C380B"/>
    <w:rsid w:val="002C3C5A"/>
    <w:rsid w:val="002C46A6"/>
    <w:rsid w:val="00337065"/>
    <w:rsid w:val="00364750"/>
    <w:rsid w:val="00365D96"/>
    <w:rsid w:val="00366EBC"/>
    <w:rsid w:val="003B6995"/>
    <w:rsid w:val="003D37CE"/>
    <w:rsid w:val="00414634"/>
    <w:rsid w:val="004200F8"/>
    <w:rsid w:val="004C4124"/>
    <w:rsid w:val="004C728B"/>
    <w:rsid w:val="004E67BB"/>
    <w:rsid w:val="005503DA"/>
    <w:rsid w:val="00571AE3"/>
    <w:rsid w:val="005D5606"/>
    <w:rsid w:val="00627A47"/>
    <w:rsid w:val="00632F3A"/>
    <w:rsid w:val="00657AC4"/>
    <w:rsid w:val="0066040A"/>
    <w:rsid w:val="006B707F"/>
    <w:rsid w:val="006B7833"/>
    <w:rsid w:val="006F4763"/>
    <w:rsid w:val="00731158"/>
    <w:rsid w:val="007352CE"/>
    <w:rsid w:val="0078625B"/>
    <w:rsid w:val="0079016D"/>
    <w:rsid w:val="007918CF"/>
    <w:rsid w:val="007B7653"/>
    <w:rsid w:val="007C1FED"/>
    <w:rsid w:val="00844654"/>
    <w:rsid w:val="00885E3B"/>
    <w:rsid w:val="00897911"/>
    <w:rsid w:val="008C57BF"/>
    <w:rsid w:val="008D0849"/>
    <w:rsid w:val="008E637A"/>
    <w:rsid w:val="00921F96"/>
    <w:rsid w:val="00975716"/>
    <w:rsid w:val="009E41C0"/>
    <w:rsid w:val="009E721F"/>
    <w:rsid w:val="009E7884"/>
    <w:rsid w:val="00A040EB"/>
    <w:rsid w:val="00A0606F"/>
    <w:rsid w:val="00A323EF"/>
    <w:rsid w:val="00A5649C"/>
    <w:rsid w:val="00A855BC"/>
    <w:rsid w:val="00B04397"/>
    <w:rsid w:val="00B272AA"/>
    <w:rsid w:val="00B35715"/>
    <w:rsid w:val="00B663B0"/>
    <w:rsid w:val="00B975A0"/>
    <w:rsid w:val="00BD324B"/>
    <w:rsid w:val="00BF3AEA"/>
    <w:rsid w:val="00C03721"/>
    <w:rsid w:val="00C369D7"/>
    <w:rsid w:val="00C972FD"/>
    <w:rsid w:val="00CB2CE5"/>
    <w:rsid w:val="00CE5BA7"/>
    <w:rsid w:val="00CF504D"/>
    <w:rsid w:val="00D96D8D"/>
    <w:rsid w:val="00E0687A"/>
    <w:rsid w:val="00E319D9"/>
    <w:rsid w:val="00E41CA2"/>
    <w:rsid w:val="00E47242"/>
    <w:rsid w:val="00E57258"/>
    <w:rsid w:val="00E9446B"/>
    <w:rsid w:val="00EA23F0"/>
    <w:rsid w:val="00ED7C45"/>
    <w:rsid w:val="00F01A73"/>
    <w:rsid w:val="00F80DC2"/>
    <w:rsid w:val="00F96CD2"/>
    <w:rsid w:val="00FA3F8D"/>
    <w:rsid w:val="00FA480A"/>
    <w:rsid w:val="00F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178215"/>
  <w14:defaultImageDpi w14:val="96"/>
  <w15:docId w15:val="{DBD493DB-BAFF-41FE-AD28-CEE92668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386" w:hanging="283"/>
      <w:jc w:val="both"/>
    </w:pPr>
    <w:rPr>
      <w:sz w:val="13"/>
      <w:szCs w:val="13"/>
    </w:rPr>
  </w:style>
  <w:style w:type="paragraph" w:customStyle="1" w:styleId="berschrift11">
    <w:name w:val="Überschrift 11"/>
    <w:basedOn w:val="Standard"/>
    <w:uiPriority w:val="1"/>
    <w:qFormat/>
    <w:pPr>
      <w:spacing w:before="156"/>
      <w:ind w:left="386" w:hanging="284"/>
      <w:outlineLvl w:val="0"/>
    </w:pPr>
    <w:rPr>
      <w:b/>
      <w:bCs/>
      <w:sz w:val="13"/>
      <w:szCs w:val="13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386" w:hanging="283"/>
      <w:jc w:val="both"/>
    </w:p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D08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084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D0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0849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0B65057718C4EA73B1EC79339BBBE" ma:contentTypeVersion="3" ma:contentTypeDescription="Create a new document." ma:contentTypeScope="" ma:versionID="8ab35f349e2fc79d1b6d88c1341205cc">
  <xsd:schema xmlns:xsd="http://www.w3.org/2001/XMLSchema" xmlns:xs="http://www.w3.org/2001/XMLSchema" xmlns:p="http://schemas.microsoft.com/office/2006/metadata/properties" xmlns:ns2="a9f8695d-1a99-49c3-8b47-0c795383e1d1" targetNamespace="http://schemas.microsoft.com/office/2006/metadata/properties" ma:root="true" ma:fieldsID="a7732881590f18d198d040ec24121bf9" ns2:_="">
    <xsd:import namespace="a9f8695d-1a99-49c3-8b47-0c795383e1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Comment" minOccurs="0"/>
                <xsd:element ref="ns2:MinorVersion" minOccurs="0"/>
                <xsd:element ref="ns2:MajorVersion" minOccurs="0"/>
                <xsd:element ref="ns2:EliteDepartment" minOccurs="0"/>
                <xsd:element ref="ns2:Matternumber" minOccurs="0"/>
                <xsd:element ref="ns2:Clientname" minOccurs="0"/>
                <xsd:element ref="ns2:JointBillID" minOccurs="0"/>
                <xsd:element ref="ns2:MatterLocation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695d-1a99-49c3-8b47-0c795383e1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ersionComment" ma:index="11" nillable="true" ma:displayName="Version Comment" ma:internalName="VersionComment">
      <xsd:simpleType>
        <xsd:restriction base="dms:Note"/>
      </xsd:simpleType>
    </xsd:element>
    <xsd:element name="MinorVersion" ma:index="12" nillable="true" ma:displayName="Minor Version" ma:internalName="MinorVersion">
      <xsd:simpleType>
        <xsd:restriction base="dms:Text"/>
      </xsd:simpleType>
    </xsd:element>
    <xsd:element name="MajorVersion" ma:index="13" nillable="true" ma:displayName="Major Version" ma:internalName="MajorVersion">
      <xsd:simpleType>
        <xsd:restriction base="dms:Text"/>
      </xsd:simpleType>
    </xsd:element>
    <xsd:element name="EliteDepartment" ma:index="14" nillable="true" ma:displayName="Elite Department" ma:default="Comm" ma:internalName="EliteDepartment">
      <xsd:simpleType>
        <xsd:restriction base="dms:Text"/>
      </xsd:simpleType>
    </xsd:element>
    <xsd:element name="Matternumber" ma:index="15" nillable="true" ma:displayName="Matternumber" ma:default="2016/12446" ma:internalName="Matternumber">
      <xsd:simpleType>
        <xsd:restriction base="dms:Text"/>
      </xsd:simpleType>
    </xsd:element>
    <xsd:element name="Clientname" ma:index="16" nillable="true" ma:displayName="Clientname" ma:default="Objectflor Art und Design Belags GmbH " ma:internalName="Clientname">
      <xsd:simpleType>
        <xsd:restriction base="dms:Text"/>
      </xsd:simpleType>
    </xsd:element>
    <xsd:element name="JointBillID" ma:index="17" nillable="true" ma:displayName="JointBill ID" ma:default="objectflor/kgyys" ma:internalName="JointBillID">
      <xsd:simpleType>
        <xsd:restriction base="dms:Text"/>
      </xsd:simpleType>
    </xsd:element>
    <xsd:element name="MatterLocation" ma:index="18" nillable="true" ma:displayName="Matter Location" ma:default="Köln" ma:internalName="MatterLocation">
      <xsd:simpleType>
        <xsd:restriction base="dms:Text"/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500b17ea-35ca-4578-a248-99b93c58e1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7094d6aa-f4e8-4fe5-9747-0a73c107477b}" ma:internalName="TaxCatchAll" ma:showField="CatchAllData" ma:web="a9f8695d-1a99-49c3-8b47-0c795383e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9f8695d-1a99-49c3-8b47-0c795383e1d1">
      <Terms xmlns="http://schemas.microsoft.com/office/infopath/2007/PartnerControls"/>
    </TaxKeywordTaxHTField>
    <VersionComment xmlns="a9f8695d-1a99-49c3-8b47-0c795383e1d1" xsi:nil="true"/>
    <TaxCatchAll xmlns="a9f8695d-1a99-49c3-8b47-0c795383e1d1"/>
    <Clientname xmlns="a9f8695d-1a99-49c3-8b47-0c795383e1d1">Objectflor Art und Design Belags GmbH </Clientname>
    <MajorVersion xmlns="a9f8695d-1a99-49c3-8b47-0c795383e1d1">0</MajorVersion>
    <EliteDepartment xmlns="a9f8695d-1a99-49c3-8b47-0c795383e1d1">Comm</EliteDepartment>
    <MatterLocation xmlns="a9f8695d-1a99-49c3-8b47-0c795383e1d1">Köln</MatterLocation>
    <Matternumber xmlns="a9f8695d-1a99-49c3-8b47-0c795383e1d1">2016/12446</Matternumber>
    <JointBillID xmlns="a9f8695d-1a99-49c3-8b47-0c795383e1d1">objectflor/kgyys</JointBillID>
    <MinorVersion xmlns="a9f8695d-1a99-49c3-8b47-0c795383e1d1">1</MinorVersion>
    <_dlc_DocId xmlns="a9f8695d-1a99-49c3-8b47-0c795383e1d1">XAZCPCHNFEWR-2054864360-38</_dlc_DocId>
    <_dlc_DocIdUrl xmlns="a9f8695d-1a99-49c3-8b47-0c795383e1d1">
      <Url>http://eakte.ad.cmsd.de/akte/201612446/_layouts/15/DocIdRedir.aspx?ID=XAZCPCHNFEWR-2054864360-38</Url>
      <Description>XAZCPCHNFEWR-2054864360-38</Description>
    </_dlc_DocIdUrl>
    <_dlc_DocIdPersistId xmlns="a9f8695d-1a99-49c3-8b47-0c795383e1d1">true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7ABB-3057-4021-8BBB-3EE5878AFE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D5071E-D4B7-4C1B-A0B7-C3D116456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8695d-1a99-49c3-8b47-0c795383e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AEEC5-4D38-49C0-862D-652D29BEB8EC}">
  <ds:schemaRefs>
    <ds:schemaRef ds:uri="http://purl.org/dc/elements/1.1/"/>
    <ds:schemaRef ds:uri="http://purl.org/dc/terms/"/>
    <ds:schemaRef ds:uri="a9f8695d-1a99-49c3-8b47-0c795383e1d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A9CF5C-87CA-4A45-82A9-476ECA817A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41210C-BE72-4236-932C-42351025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AGBs D-E_NL_F Objectflor.indd</vt:lpstr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AGBs D-E_NL_F Objectflor.indd</dc:title>
  <dc:creator>Bohlender, Claudia</dc:creator>
  <cp:lastModifiedBy>Christina Büker</cp:lastModifiedBy>
  <cp:revision>2</cp:revision>
  <cp:lastPrinted>2019-01-29T12:31:00Z</cp:lastPrinted>
  <dcterms:created xsi:type="dcterms:W3CDTF">2019-01-29T15:00:00Z</dcterms:created>
  <dcterms:modified xsi:type="dcterms:W3CDTF">2019-01-29T15:00:00Z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CS3 (5.0)</vt:lpwstr>
  </property>
  <property fmtid="{D5CDD505-2E9C-101B-9397-08002B2CF9AE}" pid="3" name="_AdHocReviewCycleID">
    <vt:i4>-2066024829</vt:i4>
  </property>
  <property fmtid="{D5CDD505-2E9C-101B-9397-08002B2CF9AE}" pid="4" name="_NewReviewCycle">
    <vt:lpwstr/>
  </property>
  <property fmtid="{D5CDD505-2E9C-101B-9397-08002B2CF9AE}" pid="5" name="_EmailSubject">
    <vt:lpwstr>Antwort: RE: Antwort: RE: AGB</vt:lpwstr>
  </property>
  <property fmtid="{D5CDD505-2E9C-101B-9397-08002B2CF9AE}" pid="6" name="ContentTypeId">
    <vt:lpwstr>0x010100A480B65057718C4EA73B1EC79339BBBE</vt:lpwstr>
  </property>
  <property fmtid="{D5CDD505-2E9C-101B-9397-08002B2CF9AE}" pid="7" name="_dlc_DocIdItemGuid">
    <vt:lpwstr>76750851-e5a5-4e0c-b7b0-fdaa0504b2be</vt:lpwstr>
  </property>
  <property fmtid="{D5CDD505-2E9C-101B-9397-08002B2CF9AE}" pid="8" name="TaxKeyword">
    <vt:lpwstr/>
  </property>
  <property fmtid="{D5CDD505-2E9C-101B-9397-08002B2CF9AE}" pid="9" name="Order">
    <vt:r8>1700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PreviousAdHocReviewCycleID">
    <vt:i4>-2040969215</vt:i4>
  </property>
  <property fmtid="{D5CDD505-2E9C-101B-9397-08002B2CF9AE}" pid="14" name="_ReviewingToolsShownOnce">
    <vt:lpwstr/>
  </property>
</Properties>
</file>