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8215" w14:textId="77777777" w:rsidR="00C369D7" w:rsidRPr="00DD3CB9" w:rsidRDefault="00C369D7">
      <w:pPr>
        <w:pStyle w:val="Textkrper"/>
        <w:kinsoku w:val="0"/>
        <w:overflowPunct w:val="0"/>
        <w:ind w:left="0" w:firstLine="0"/>
        <w:jc w:val="lef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14:paraId="0D178216" w14:textId="77777777" w:rsidR="00C369D7" w:rsidRPr="00DD3CB9" w:rsidRDefault="00C369D7">
      <w:pPr>
        <w:pStyle w:val="Textkrper"/>
        <w:kinsoku w:val="0"/>
        <w:overflowPunct w:val="0"/>
        <w:ind w:left="0" w:firstLine="0"/>
        <w:jc w:val="left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14:paraId="0D178217" w14:textId="77777777" w:rsidR="00C369D7" w:rsidRPr="00DD3CB9" w:rsidRDefault="00C369D7">
      <w:pPr>
        <w:pStyle w:val="Textkrper"/>
        <w:kinsoku w:val="0"/>
        <w:overflowPunct w:val="0"/>
        <w:spacing w:before="3"/>
        <w:ind w:left="0" w:firstLine="0"/>
        <w:jc w:val="lef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14:paraId="0D178218" w14:textId="624F4CA0" w:rsidR="00C369D7" w:rsidRPr="00DD3CB9" w:rsidRDefault="00EA23F0" w:rsidP="007C1FED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ind w:right="-170"/>
        <w:outlineLvl w:val="9"/>
        <w:rPr>
          <w:color w:val="A6A6A6" w:themeColor="background1" w:themeShade="A6"/>
        </w:rPr>
      </w:pPr>
      <w:r w:rsidRPr="00DD3CB9">
        <w:rPr>
          <w:color w:val="A6A6A6" w:themeColor="background1" w:themeShade="A6"/>
        </w:rPr>
        <w:t>General</w:t>
      </w:r>
    </w:p>
    <w:p w14:paraId="0D178219" w14:textId="2E9C7B8F" w:rsidR="00C369D7" w:rsidRPr="00DD3CB9" w:rsidRDefault="00C369D7" w:rsidP="003A41FC">
      <w:pPr>
        <w:pStyle w:val="Textkrper"/>
        <w:kinsoku w:val="0"/>
        <w:overflowPunct w:val="0"/>
        <w:spacing w:before="157"/>
        <w:ind w:left="-227" w:firstLine="0"/>
        <w:jc w:val="left"/>
        <w:rPr>
          <w:b/>
          <w:bCs/>
          <w:color w:val="A6A6A6" w:themeColor="background1" w:themeShade="A6"/>
          <w:sz w:val="24"/>
          <w:szCs w:val="24"/>
        </w:rPr>
      </w:pPr>
      <w:r w:rsidRPr="00DD3CB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 w:type="column"/>
      </w:r>
      <w:r w:rsidR="00EA23F0" w:rsidRPr="00DD3CB9">
        <w:rPr>
          <w:b/>
          <w:bCs/>
          <w:color w:val="A6A6A6" w:themeColor="background1" w:themeShade="A6"/>
          <w:sz w:val="24"/>
          <w:szCs w:val="24"/>
        </w:rPr>
        <w:t>GENERAL TERMS OF DELIVERY AND PAYMENT</w:t>
      </w:r>
    </w:p>
    <w:p w14:paraId="0D17821A" w14:textId="77777777" w:rsidR="00C369D7" w:rsidRPr="00DD3CB9" w:rsidRDefault="00C369D7">
      <w:pPr>
        <w:pStyle w:val="Textkrper"/>
        <w:kinsoku w:val="0"/>
        <w:overflowPunct w:val="0"/>
        <w:spacing w:before="237" w:line="125" w:lineRule="exact"/>
        <w:ind w:left="3363" w:firstLine="0"/>
        <w:jc w:val="left"/>
        <w:rPr>
          <w:color w:val="A6A6A6" w:themeColor="background1" w:themeShade="A6"/>
        </w:rPr>
        <w:sectPr w:rsidR="00C369D7" w:rsidRPr="00DD3CB9" w:rsidSect="008D0849">
          <w:headerReference w:type="default" r:id="rId12"/>
          <w:type w:val="continuous"/>
          <w:pgSz w:w="11910" w:h="16850"/>
          <w:pgMar w:top="475" w:right="720" w:bottom="280" w:left="1100" w:header="142" w:footer="720" w:gutter="0"/>
          <w:cols w:num="2" w:space="720" w:equalWidth="0">
            <w:col w:w="964" w:space="1313"/>
            <w:col w:w="7813"/>
          </w:cols>
          <w:noEndnote/>
        </w:sectPr>
      </w:pPr>
    </w:p>
    <w:p w14:paraId="45BC9789" w14:textId="77777777" w:rsidR="00234925" w:rsidRPr="00DD3CB9" w:rsidRDefault="00EA23F0" w:rsidP="00234925">
      <w:pPr>
        <w:pStyle w:val="Listenabsatz"/>
        <w:numPr>
          <w:ilvl w:val="1"/>
          <w:numId w:val="1"/>
        </w:numPr>
        <w:kinsoku w:val="0"/>
        <w:overflowPunct w:val="0"/>
        <w:spacing w:before="29" w:line="249" w:lineRule="auto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offers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deliveries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services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exclusively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made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subjec</w:t>
      </w:r>
      <w:bookmarkStart w:id="0" w:name="_GoBack"/>
      <w:bookmarkEnd w:id="0"/>
      <w:r w:rsidRPr="00DD3CB9">
        <w:rPr>
          <w:color w:val="A6A6A6" w:themeColor="background1" w:themeShade="A6"/>
          <w:sz w:val="13"/>
          <w:szCs w:val="13"/>
        </w:rPr>
        <w:t>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following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terms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These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also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valid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all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future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business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relations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even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not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expressly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agreed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writing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Deviations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from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terms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business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particular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application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terms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purchase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require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express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consent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writing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Any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deviating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confirmations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orders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referring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terms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business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resp.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purchase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terms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excluded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0D17821C" w14:textId="2518DBFF" w:rsidR="007352CE" w:rsidRPr="00DD3CB9" w:rsidRDefault="00EA23F0" w:rsidP="00234925">
      <w:pPr>
        <w:pStyle w:val="Listenabsatz"/>
        <w:numPr>
          <w:ilvl w:val="1"/>
          <w:numId w:val="1"/>
        </w:numPr>
        <w:kinsoku w:val="0"/>
        <w:overflowPunct w:val="0"/>
        <w:spacing w:before="29" w:line="249" w:lineRule="auto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These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terms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only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entrepreneurs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pursuant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§ 14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German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Civil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Code (Bürgerliches Gesetzbuch, BGB).</w:t>
      </w:r>
      <w:r w:rsidR="007352CE" w:rsidRPr="00DD3CB9">
        <w:rPr>
          <w:color w:val="A6A6A6" w:themeColor="background1" w:themeShade="A6"/>
          <w:sz w:val="13"/>
          <w:szCs w:val="13"/>
        </w:rPr>
        <w:t xml:space="preserve"> </w:t>
      </w:r>
    </w:p>
    <w:p w14:paraId="73DF152B" w14:textId="2F322465" w:rsidR="00EA23F0" w:rsidRPr="00DD3CB9" w:rsidRDefault="00EA23F0" w:rsidP="00EA23F0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27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offers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subject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confirmation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Orders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only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binding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confirm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fulfil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sending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Oral additional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agreements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only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valid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confirmed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writing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0D17821E" w14:textId="5A00458D" w:rsidR="00C369D7" w:rsidRPr="00DD3CB9" w:rsidRDefault="00EA23F0" w:rsidP="00EA23F0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27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Products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services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billed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prices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valid on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contract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concluded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exclusive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VAT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applicable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that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time</w:t>
      </w:r>
      <w:r w:rsidR="00C369D7" w:rsidRPr="00DD3CB9">
        <w:rPr>
          <w:color w:val="A6A6A6" w:themeColor="background1" w:themeShade="A6"/>
          <w:sz w:val="13"/>
          <w:szCs w:val="13"/>
        </w:rPr>
        <w:t>.</w:t>
      </w:r>
    </w:p>
    <w:p w14:paraId="0D17821F" w14:textId="4DBF7E05" w:rsidR="00C369D7" w:rsidRPr="00DD3CB9" w:rsidRDefault="00234925">
      <w:pPr>
        <w:pStyle w:val="berschrift11"/>
        <w:numPr>
          <w:ilvl w:val="0"/>
          <w:numId w:val="1"/>
        </w:numPr>
        <w:tabs>
          <w:tab w:val="left" w:pos="386"/>
        </w:tabs>
        <w:kinsoku w:val="0"/>
        <w:overflowPunct w:val="0"/>
        <w:outlineLvl w:val="9"/>
        <w:rPr>
          <w:color w:val="A6A6A6" w:themeColor="background1" w:themeShade="A6"/>
        </w:rPr>
      </w:pPr>
      <w:proofErr w:type="spellStart"/>
      <w:r w:rsidRPr="00DD3CB9">
        <w:rPr>
          <w:color w:val="A6A6A6" w:themeColor="background1" w:themeShade="A6"/>
        </w:rPr>
        <w:t>Delivery</w:t>
      </w:r>
      <w:proofErr w:type="spellEnd"/>
      <w:r w:rsidRPr="00DD3CB9">
        <w:rPr>
          <w:color w:val="A6A6A6" w:themeColor="background1" w:themeShade="A6"/>
        </w:rPr>
        <w:t xml:space="preserve"> </w:t>
      </w:r>
    </w:p>
    <w:p w14:paraId="1FD05E8A" w14:textId="77777777" w:rsidR="00234925" w:rsidRPr="00DD3CB9" w:rsidRDefault="00234925" w:rsidP="00234925">
      <w:pPr>
        <w:pStyle w:val="Listenabsatz"/>
        <w:numPr>
          <w:ilvl w:val="1"/>
          <w:numId w:val="1"/>
        </w:numPr>
        <w:kinsoku w:val="0"/>
        <w:overflowPunct w:val="0"/>
        <w:spacing w:before="6" w:line="249" w:lineRule="auto"/>
        <w:ind w:right="1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Deliveries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made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according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delivery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applicable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</w:p>
    <w:p w14:paraId="0D178220" w14:textId="2FE59812" w:rsidR="00C369D7" w:rsidRPr="00DD3CB9" w:rsidRDefault="00234925" w:rsidP="00234925">
      <w:pPr>
        <w:pStyle w:val="Listenabsatz"/>
        <w:kinsoku w:val="0"/>
        <w:overflowPunct w:val="0"/>
        <w:spacing w:before="6" w:line="249" w:lineRule="auto"/>
        <w:ind w:right="1" w:firstLine="0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individual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products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Irrespective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value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delivery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will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charge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 lump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sum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logistics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expenses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extent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agreed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with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net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value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than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EUR 500.00,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will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charge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 additional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handling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fee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EUR 24.50. Any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special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requests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regarding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shipping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method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will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met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possible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against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reimbursement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additional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costs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  <w:r w:rsidR="007B7653" w:rsidRPr="00DD3CB9">
        <w:rPr>
          <w:color w:val="A6A6A6" w:themeColor="background1" w:themeShade="A6"/>
          <w:sz w:val="13"/>
          <w:szCs w:val="13"/>
        </w:rPr>
        <w:t xml:space="preserve"> </w:t>
      </w:r>
    </w:p>
    <w:p w14:paraId="6887FA2A" w14:textId="53E18DEA" w:rsidR="00234925" w:rsidRPr="005E20EE" w:rsidRDefault="00234925" w:rsidP="005E20EE">
      <w:pPr>
        <w:pStyle w:val="Listenabsatz"/>
        <w:numPr>
          <w:ilvl w:val="1"/>
          <w:numId w:val="1"/>
        </w:numPr>
        <w:kinsoku w:val="0"/>
        <w:overflowPunct w:val="0"/>
        <w:spacing w:before="1" w:line="249" w:lineRule="auto"/>
        <w:ind w:right="1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Delivery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dates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deadlines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about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binding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nonbinding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agreements</w:t>
      </w:r>
      <w:proofErr w:type="spellEnd"/>
      <w:r w:rsid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are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made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must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be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made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writing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If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an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agreed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delivery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deadline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is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culpably</w:t>
      </w:r>
      <w:proofErr w:type="spellEnd"/>
    </w:p>
    <w:p w14:paraId="43951824" w14:textId="77777777" w:rsidR="00234925" w:rsidRPr="00DD3CB9" w:rsidRDefault="00234925" w:rsidP="00234925">
      <w:pPr>
        <w:pStyle w:val="Listenabsatz"/>
        <w:kinsoku w:val="0"/>
        <w:overflowPunct w:val="0"/>
        <w:spacing w:before="1" w:line="249" w:lineRule="auto"/>
        <w:ind w:right="1" w:firstLine="0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missed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shipping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party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only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considered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default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delivery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after</w:t>
      </w:r>
    </w:p>
    <w:p w14:paraId="0D178221" w14:textId="49CBF2B9" w:rsidR="00C369D7" w:rsidRPr="00DD3CB9" w:rsidRDefault="00234925" w:rsidP="00234925">
      <w:pPr>
        <w:pStyle w:val="Listenabsatz"/>
        <w:kinsoku w:val="0"/>
        <w:overflowPunct w:val="0"/>
        <w:spacing w:before="1" w:line="249" w:lineRule="auto"/>
        <w:ind w:right="1" w:firstLine="0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an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appropriate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extension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deadline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granted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7A976EF7" w14:textId="77777777" w:rsidR="00234925" w:rsidRPr="00DD3CB9" w:rsidRDefault="00234925" w:rsidP="00234925">
      <w:pPr>
        <w:pStyle w:val="Listenabsatz"/>
        <w:numPr>
          <w:ilvl w:val="1"/>
          <w:numId w:val="1"/>
        </w:numPr>
        <w:kinsoku w:val="0"/>
        <w:overflowPunct w:val="0"/>
        <w:spacing w:before="1" w:line="249" w:lineRule="auto"/>
        <w:ind w:right="1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Insofar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provide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own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packaging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means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transport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special</w:t>
      </w:r>
      <w:proofErr w:type="spellEnd"/>
    </w:p>
    <w:p w14:paraId="1E88E4A8" w14:textId="77777777" w:rsidR="00234925" w:rsidRPr="00DD3CB9" w:rsidRDefault="00234925" w:rsidP="00234925">
      <w:pPr>
        <w:pStyle w:val="Listenabsatz"/>
        <w:kinsoku w:val="0"/>
        <w:overflowPunct w:val="0"/>
        <w:spacing w:before="1" w:line="249" w:lineRule="auto"/>
        <w:ind w:right="1" w:firstLine="0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packaging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terms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packaged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with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greatest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possible</w:t>
      </w:r>
    </w:p>
    <w:p w14:paraId="0D178222" w14:textId="04B8BC4E" w:rsidR="00C369D7" w:rsidRPr="00DD3CB9" w:rsidRDefault="00234925" w:rsidP="00234925">
      <w:pPr>
        <w:pStyle w:val="Listenabsatz"/>
        <w:kinsoku w:val="0"/>
        <w:overflowPunct w:val="0"/>
        <w:spacing w:before="1" w:line="249" w:lineRule="auto"/>
        <w:ind w:right="1" w:firstLine="0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care.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Returned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packaging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not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accepted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0D178225" w14:textId="2ACD5391" w:rsidR="00C369D7" w:rsidRPr="00DD3CB9" w:rsidRDefault="00234925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outlineLvl w:val="9"/>
        <w:rPr>
          <w:color w:val="A6A6A6" w:themeColor="background1" w:themeShade="A6"/>
        </w:rPr>
      </w:pPr>
      <w:proofErr w:type="spellStart"/>
      <w:r w:rsidRPr="00DD3CB9">
        <w:rPr>
          <w:color w:val="A6A6A6" w:themeColor="background1" w:themeShade="A6"/>
        </w:rPr>
        <w:t>Shipment</w:t>
      </w:r>
      <w:proofErr w:type="spellEnd"/>
      <w:r w:rsidRPr="00DD3CB9">
        <w:rPr>
          <w:color w:val="A6A6A6" w:themeColor="background1" w:themeShade="A6"/>
        </w:rPr>
        <w:t xml:space="preserve"> and </w:t>
      </w:r>
      <w:proofErr w:type="spellStart"/>
      <w:r w:rsidRPr="00DD3CB9">
        <w:rPr>
          <w:color w:val="A6A6A6" w:themeColor="background1" w:themeShade="A6"/>
        </w:rPr>
        <w:t>transfer</w:t>
      </w:r>
      <w:proofErr w:type="spellEnd"/>
      <w:r w:rsidRPr="00DD3CB9">
        <w:rPr>
          <w:color w:val="A6A6A6" w:themeColor="background1" w:themeShade="A6"/>
        </w:rPr>
        <w:t xml:space="preserve"> </w:t>
      </w:r>
      <w:proofErr w:type="spellStart"/>
      <w:r w:rsidRPr="00DD3CB9">
        <w:rPr>
          <w:color w:val="A6A6A6" w:themeColor="background1" w:themeShade="A6"/>
        </w:rPr>
        <w:t>of</w:t>
      </w:r>
      <w:proofErr w:type="spellEnd"/>
      <w:r w:rsidRPr="00DD3CB9">
        <w:rPr>
          <w:color w:val="A6A6A6" w:themeColor="background1" w:themeShade="A6"/>
        </w:rPr>
        <w:t xml:space="preserve"> </w:t>
      </w:r>
      <w:proofErr w:type="spellStart"/>
      <w:r w:rsidRPr="00DD3CB9">
        <w:rPr>
          <w:color w:val="A6A6A6" w:themeColor="background1" w:themeShade="A6"/>
        </w:rPr>
        <w:t>risk</w:t>
      </w:r>
      <w:proofErr w:type="spellEnd"/>
    </w:p>
    <w:p w14:paraId="0D178226" w14:textId="15C82E65" w:rsidR="00C369D7" w:rsidRPr="00DD3CB9" w:rsidRDefault="00234925" w:rsidP="00234925">
      <w:pPr>
        <w:pStyle w:val="Listenabsatz"/>
        <w:numPr>
          <w:ilvl w:val="1"/>
          <w:numId w:val="1"/>
        </w:numPr>
        <w:kinsoku w:val="0"/>
        <w:overflowPunct w:val="0"/>
        <w:spacing w:before="6" w:line="249" w:lineRule="auto"/>
        <w:ind w:right="1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Unless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otherwise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agreed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writing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loading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shipment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not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insured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carried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out at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buyer’s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risk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(EXW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Incoterms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2010). 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transfer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risk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take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place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moment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handed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over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party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commissioned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handle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shipment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50110D22" w14:textId="77777777" w:rsidR="00234925" w:rsidRPr="00DD3CB9" w:rsidRDefault="00234925" w:rsidP="00234925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Noticeable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transport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damages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promptly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reported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forwarding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makes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delivery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Hidden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transport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damages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reported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writing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within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period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7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days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forwarding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making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delivery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0D178228" w14:textId="6EAD93AB" w:rsidR="00C369D7" w:rsidRPr="00DD3CB9" w:rsidRDefault="00234925" w:rsidP="00234925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Insurance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against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transport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fire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damage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taken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out at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written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request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at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expense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="00C369D7" w:rsidRPr="00DD3CB9">
        <w:rPr>
          <w:color w:val="A6A6A6" w:themeColor="background1" w:themeShade="A6"/>
          <w:sz w:val="13"/>
          <w:szCs w:val="13"/>
        </w:rPr>
        <w:t>.</w:t>
      </w:r>
    </w:p>
    <w:p w14:paraId="0D178229" w14:textId="162E2692" w:rsidR="002B3B00" w:rsidRPr="00DD3CB9" w:rsidRDefault="006F4763" w:rsidP="002B3B00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spacing w:before="157"/>
        <w:outlineLvl w:val="9"/>
        <w:rPr>
          <w:color w:val="A6A6A6" w:themeColor="background1" w:themeShade="A6"/>
        </w:rPr>
      </w:pPr>
      <w:r w:rsidRPr="00DD3CB9">
        <w:rPr>
          <w:color w:val="A6A6A6" w:themeColor="background1" w:themeShade="A6"/>
        </w:rPr>
        <w:t>Force majeure</w:t>
      </w:r>
    </w:p>
    <w:p w14:paraId="0D17822A" w14:textId="7E926BE6" w:rsidR="00F01A73" w:rsidRPr="00DD3CB9" w:rsidRDefault="006F4763" w:rsidP="007C1FED">
      <w:pPr>
        <w:pStyle w:val="Listenabsatz"/>
        <w:numPr>
          <w:ilvl w:val="1"/>
          <w:numId w:val="1"/>
        </w:numPr>
        <w:kinsoku w:val="0"/>
        <w:overflowPunct w:val="0"/>
        <w:spacing w:before="6" w:line="249" w:lineRule="auto"/>
        <w:ind w:left="385" w:right="1" w:hanging="283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Where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impossible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meet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obligations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under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contract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only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do so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with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delay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not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liable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extent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that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attributable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majeure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other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occurrences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unforeseeable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contract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was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concluded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not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responsible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(e.g.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disruption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operations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fire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natural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disasters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weather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flooding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war,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insurgency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terrorism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transport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delays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strikes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lawful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lockouts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shortage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energy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raw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human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resources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delays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issue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necessary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official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permits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official</w:t>
      </w:r>
      <w:proofErr w:type="spellEnd"/>
      <w:r w:rsidRPr="00DD3CB9">
        <w:rPr>
          <w:color w:val="A6A6A6" w:themeColor="background1" w:themeShade="A6"/>
          <w:sz w:val="13"/>
          <w:szCs w:val="13"/>
        </w:rPr>
        <w:t>/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sovereign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measures</w:t>
      </w:r>
      <w:proofErr w:type="spellEnd"/>
      <w:r w:rsidRPr="00DD3CB9">
        <w:rPr>
          <w:color w:val="A6A6A6" w:themeColor="background1" w:themeShade="A6"/>
          <w:sz w:val="13"/>
          <w:szCs w:val="13"/>
        </w:rPr>
        <w:t>)</w:t>
      </w:r>
      <w:r w:rsidR="00F01A73" w:rsidRPr="00DD3CB9">
        <w:rPr>
          <w:color w:val="A6A6A6" w:themeColor="background1" w:themeShade="A6"/>
          <w:sz w:val="13"/>
          <w:szCs w:val="13"/>
        </w:rPr>
        <w:t>.</w:t>
      </w:r>
    </w:p>
    <w:p w14:paraId="0D17822B" w14:textId="0030F8E6" w:rsidR="002B3B00" w:rsidRPr="00DD3CB9" w:rsidRDefault="006F4763" w:rsidP="007C1FED">
      <w:pPr>
        <w:pStyle w:val="Listenabsatz"/>
        <w:numPr>
          <w:ilvl w:val="1"/>
          <w:numId w:val="1"/>
        </w:numPr>
        <w:kinsoku w:val="0"/>
        <w:overflowPunct w:val="0"/>
        <w:spacing w:before="6" w:line="249" w:lineRule="auto"/>
        <w:ind w:left="385" w:right="1" w:hanging="283"/>
        <w:rPr>
          <w:color w:val="A6A6A6" w:themeColor="background1" w:themeShade="A6"/>
          <w:spacing w:val="-4"/>
          <w:sz w:val="13"/>
          <w:szCs w:val="13"/>
        </w:rPr>
      </w:pPr>
      <w:r w:rsidRPr="00DD3CB9">
        <w:rPr>
          <w:color w:val="A6A6A6" w:themeColor="background1" w:themeShade="A6"/>
          <w:spacing w:val="-4"/>
          <w:sz w:val="13"/>
          <w:szCs w:val="13"/>
        </w:rPr>
        <w:t xml:space="preserve">Failure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upstream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suppliers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supply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correctly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in time also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constitutes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an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occurrence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this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type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not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responsible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therefor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, and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, at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time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contract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with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customer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was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concluded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had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concluded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congruent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substitute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transactions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with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respective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upstream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supplier. This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also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apply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conclude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such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congruent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substitute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transaction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without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undue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delay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after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concluding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contract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with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pacing w:val="-4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pacing w:val="-4"/>
          <w:sz w:val="13"/>
          <w:szCs w:val="13"/>
        </w:rPr>
        <w:t>customer</w:t>
      </w:r>
      <w:proofErr w:type="spellEnd"/>
      <w:r w:rsidR="00F01A73" w:rsidRPr="00DD3CB9">
        <w:rPr>
          <w:color w:val="A6A6A6" w:themeColor="background1" w:themeShade="A6"/>
          <w:sz w:val="13"/>
          <w:szCs w:val="13"/>
        </w:rPr>
        <w:t>.</w:t>
      </w:r>
    </w:p>
    <w:p w14:paraId="0D17822C" w14:textId="368BE9E1" w:rsidR="00C369D7" w:rsidRPr="00DD3CB9" w:rsidRDefault="00F80DC2">
      <w:pPr>
        <w:pStyle w:val="berschrift11"/>
        <w:numPr>
          <w:ilvl w:val="0"/>
          <w:numId w:val="1"/>
        </w:numPr>
        <w:tabs>
          <w:tab w:val="left" w:pos="388"/>
        </w:tabs>
        <w:kinsoku w:val="0"/>
        <w:overflowPunct w:val="0"/>
        <w:ind w:left="387"/>
        <w:outlineLvl w:val="9"/>
        <w:rPr>
          <w:color w:val="A6A6A6" w:themeColor="background1" w:themeShade="A6"/>
        </w:rPr>
      </w:pPr>
      <w:r w:rsidRPr="00DD3CB9">
        <w:rPr>
          <w:color w:val="A6A6A6" w:themeColor="background1" w:themeShade="A6"/>
        </w:rPr>
        <w:t xml:space="preserve">Terms </w:t>
      </w:r>
      <w:proofErr w:type="spellStart"/>
      <w:r w:rsidRPr="00DD3CB9">
        <w:rPr>
          <w:color w:val="A6A6A6" w:themeColor="background1" w:themeShade="A6"/>
        </w:rPr>
        <w:t>of</w:t>
      </w:r>
      <w:proofErr w:type="spellEnd"/>
      <w:r w:rsidRPr="00DD3CB9">
        <w:rPr>
          <w:color w:val="A6A6A6" w:themeColor="background1" w:themeShade="A6"/>
        </w:rPr>
        <w:t xml:space="preserve"> </w:t>
      </w:r>
      <w:proofErr w:type="spellStart"/>
      <w:r w:rsidRPr="00DD3CB9">
        <w:rPr>
          <w:color w:val="A6A6A6" w:themeColor="background1" w:themeShade="A6"/>
        </w:rPr>
        <w:t>payment</w:t>
      </w:r>
      <w:proofErr w:type="spellEnd"/>
      <w:r w:rsidRPr="00DD3CB9">
        <w:rPr>
          <w:color w:val="A6A6A6" w:themeColor="background1" w:themeShade="A6"/>
        </w:rPr>
        <w:t xml:space="preserve"> </w:t>
      </w:r>
    </w:p>
    <w:p w14:paraId="0BB232E4" w14:textId="0B94C606" w:rsidR="00F80DC2" w:rsidRPr="00DD3CB9" w:rsidRDefault="00F80DC2" w:rsidP="00F80DC2">
      <w:pPr>
        <w:pStyle w:val="Listenabsatz"/>
        <w:numPr>
          <w:ilvl w:val="1"/>
          <w:numId w:val="1"/>
        </w:numPr>
        <w:tabs>
          <w:tab w:val="left" w:pos="387"/>
        </w:tabs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invoices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due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without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deduction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30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days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after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invoice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date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payable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strictly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net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cash.</w:t>
      </w:r>
    </w:p>
    <w:p w14:paraId="4E57145E" w14:textId="64E7BF0A" w:rsidR="00F80DC2" w:rsidRPr="00DD3CB9" w:rsidRDefault="00F80DC2" w:rsidP="00F80DC2">
      <w:pPr>
        <w:pStyle w:val="Listenabsatz"/>
        <w:numPr>
          <w:ilvl w:val="1"/>
          <w:numId w:val="1"/>
        </w:numPr>
        <w:tabs>
          <w:tab w:val="left" w:pos="387"/>
        </w:tabs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payment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due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terms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always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calculated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from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date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invoice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6FA5C5EB" w14:textId="61DE1321" w:rsidR="00F80DC2" w:rsidRPr="00DD3CB9" w:rsidRDefault="00F80DC2" w:rsidP="00F80DC2">
      <w:pPr>
        <w:pStyle w:val="Listenabsatz"/>
        <w:numPr>
          <w:ilvl w:val="1"/>
          <w:numId w:val="1"/>
        </w:numPr>
        <w:tabs>
          <w:tab w:val="left" w:pos="387"/>
        </w:tabs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Payment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bills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exchange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require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approval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Expenses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charges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risk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timely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presentation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notice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protest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entirely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born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45A6AA87" w14:textId="11856C74" w:rsidR="00F80DC2" w:rsidRPr="00DD3CB9" w:rsidRDefault="00F80DC2" w:rsidP="00F80DC2">
      <w:pPr>
        <w:pStyle w:val="Listenabsatz"/>
        <w:numPr>
          <w:ilvl w:val="1"/>
          <w:numId w:val="1"/>
        </w:numPr>
        <w:tabs>
          <w:tab w:val="left" w:pos="387"/>
        </w:tabs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deadline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payment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exceeded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interest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amount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8%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above</w:t>
      </w:r>
      <w:proofErr w:type="spellEnd"/>
    </w:p>
    <w:p w14:paraId="704370E0" w14:textId="439942CF" w:rsidR="00F80DC2" w:rsidRPr="00DD3CB9" w:rsidRDefault="00F80DC2" w:rsidP="00F80DC2">
      <w:pPr>
        <w:pStyle w:val="Listenabsatz"/>
        <w:tabs>
          <w:tab w:val="left" w:pos="387"/>
        </w:tabs>
        <w:kinsoku w:val="0"/>
        <w:overflowPunct w:val="0"/>
        <w:spacing w:line="249" w:lineRule="auto"/>
        <w:ind w:firstLine="0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applicable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base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lending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rate will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charged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statutory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lump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sum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EUR 40,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subject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assertion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further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damage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664E30F1" w14:textId="5A2F9512" w:rsidR="00F80DC2" w:rsidRPr="00DD3CB9" w:rsidRDefault="00F80DC2" w:rsidP="00F80DC2">
      <w:pPr>
        <w:pStyle w:val="Listenabsatz"/>
        <w:numPr>
          <w:ilvl w:val="1"/>
          <w:numId w:val="1"/>
        </w:numPr>
        <w:tabs>
          <w:tab w:val="left" w:pos="387"/>
        </w:tabs>
        <w:kinsoku w:val="0"/>
        <w:overflowPunct w:val="0"/>
        <w:spacing w:line="249" w:lineRule="auto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only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off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uncontested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been</w:t>
      </w:r>
      <w:proofErr w:type="spellEnd"/>
    </w:p>
    <w:p w14:paraId="0D178232" w14:textId="60B87939" w:rsidR="00C369D7" w:rsidRPr="00DD3CB9" w:rsidRDefault="00F80DC2" w:rsidP="00F80DC2">
      <w:pPr>
        <w:pStyle w:val="Listenabsatz"/>
        <w:tabs>
          <w:tab w:val="left" w:pos="387"/>
        </w:tabs>
        <w:kinsoku w:val="0"/>
        <w:overflowPunct w:val="0"/>
        <w:spacing w:line="249" w:lineRule="auto"/>
        <w:ind w:firstLine="0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established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final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court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decision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0D178233" w14:textId="52C6B1FE" w:rsidR="00C369D7" w:rsidRPr="00DD3CB9" w:rsidRDefault="00F80DC2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ind w:hanging="283"/>
        <w:outlineLvl w:val="9"/>
        <w:rPr>
          <w:color w:val="A6A6A6" w:themeColor="background1" w:themeShade="A6"/>
        </w:rPr>
      </w:pPr>
      <w:proofErr w:type="spellStart"/>
      <w:r w:rsidRPr="00DD3CB9">
        <w:rPr>
          <w:color w:val="A6A6A6" w:themeColor="background1" w:themeShade="A6"/>
        </w:rPr>
        <w:t>Warranty</w:t>
      </w:r>
      <w:proofErr w:type="spellEnd"/>
      <w:r w:rsidRPr="00DD3CB9">
        <w:rPr>
          <w:color w:val="A6A6A6" w:themeColor="background1" w:themeShade="A6"/>
        </w:rPr>
        <w:t xml:space="preserve"> </w:t>
      </w:r>
      <w:proofErr w:type="spellStart"/>
      <w:r w:rsidRPr="00DD3CB9">
        <w:rPr>
          <w:color w:val="A6A6A6" w:themeColor="background1" w:themeShade="A6"/>
        </w:rPr>
        <w:t>for</w:t>
      </w:r>
      <w:proofErr w:type="spellEnd"/>
      <w:r w:rsidRPr="00DD3CB9">
        <w:rPr>
          <w:color w:val="A6A6A6" w:themeColor="background1" w:themeShade="A6"/>
        </w:rPr>
        <w:t xml:space="preserve"> </w:t>
      </w:r>
      <w:proofErr w:type="spellStart"/>
      <w:r w:rsidRPr="00DD3CB9">
        <w:rPr>
          <w:color w:val="A6A6A6" w:themeColor="background1" w:themeShade="A6"/>
        </w:rPr>
        <w:t>defects</w:t>
      </w:r>
      <w:proofErr w:type="spellEnd"/>
    </w:p>
    <w:p w14:paraId="28A40318" w14:textId="4FCC6A67" w:rsidR="00FA3F8D" w:rsidRPr="005E20EE" w:rsidRDefault="00FA3F8D" w:rsidP="005E20EE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All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information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about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suitability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workmanship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applicability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products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any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technical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advice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other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information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are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provided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according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to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the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best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of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our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knowledge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, but do not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release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the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buyer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from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the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obligation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to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perform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his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own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checks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tests</w:t>
      </w:r>
      <w:proofErr w:type="spellEnd"/>
      <w:r w:rsidRPr="005E20EE">
        <w:rPr>
          <w:color w:val="A6A6A6" w:themeColor="background1" w:themeShade="A6"/>
          <w:sz w:val="13"/>
          <w:szCs w:val="13"/>
        </w:rPr>
        <w:t>.</w:t>
      </w:r>
    </w:p>
    <w:p w14:paraId="0763AA37" w14:textId="060FAA3F" w:rsidR="00FA3F8D" w:rsidRPr="00DD3CB9" w:rsidRDefault="00FA3F8D" w:rsidP="00FA3F8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Promptly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after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receiving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check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complete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accurate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contain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ﬂaws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Noticeable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ﬂaws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only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result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warranty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reported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writing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within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one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week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receipt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believes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cause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complaint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must not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processed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resp.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further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processed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processed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even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though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defect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was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noticed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should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noticed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free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any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liability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damages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consequential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damages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so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prompted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upon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request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their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entirety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defective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samples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thereof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checking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450BC7B5" w14:textId="4ED7C7E0" w:rsidR="00FA3F8D" w:rsidRPr="00DD3CB9" w:rsidRDefault="00FA3F8D" w:rsidP="00FA3F8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hidden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defects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only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asserted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customer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provides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that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under-ﬂoor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ﬂawless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that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suitable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adhesives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that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subjected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proper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processing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normal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(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defined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that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customary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recommended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purpose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expected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manufacturer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)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that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regular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care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applied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Deviations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slight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deviations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quality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weight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size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thickness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width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equipment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pattern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colour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customary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trade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not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considered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defects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5638D21B" w14:textId="33C0DF26" w:rsidR="00FA3F8D" w:rsidRPr="00DD3CB9" w:rsidRDefault="00FA3F8D" w:rsidP="00FA3F8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defects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will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first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deliver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flawless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product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statute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limitations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based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on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defects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2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years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from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delivery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Section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438 (1),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second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sentence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German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Civil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Code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remain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applicable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reserve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right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marginal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colour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deviations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because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warranty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issued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replacements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from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same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production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batch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previous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shipment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Slight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colour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deviations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occur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ﬂoor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coverings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same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colour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due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different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manufacturing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process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however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does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not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constitute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cause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complaints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5CE132CB" w14:textId="325FD149" w:rsidR="00FA3F8D" w:rsidRPr="00DD3CB9" w:rsidRDefault="00FA3F8D" w:rsidP="00FA3F8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product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defects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installed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another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product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attached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another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product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accordance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with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nature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purpose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will – at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discretion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–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remove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defective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product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ourselves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removed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third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parties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instructed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will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install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attach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flawless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product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reimburse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expenses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required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regard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79C3D068" w14:textId="4DDAA840" w:rsidR="00294913" w:rsidRPr="00DD3CB9" w:rsidRDefault="00FA3F8D" w:rsidP="00FA3F8D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Recourse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resale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pursuant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§ 445a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German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Civil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Code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excluded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0D178238" w14:textId="0A4A6B67" w:rsidR="00C369D7" w:rsidRPr="00DD3CB9" w:rsidRDefault="00414634">
      <w:pPr>
        <w:pStyle w:val="berschrift11"/>
        <w:numPr>
          <w:ilvl w:val="0"/>
          <w:numId w:val="1"/>
        </w:numPr>
        <w:tabs>
          <w:tab w:val="left" w:pos="389"/>
        </w:tabs>
        <w:kinsoku w:val="0"/>
        <w:overflowPunct w:val="0"/>
        <w:ind w:left="388"/>
        <w:outlineLvl w:val="9"/>
        <w:rPr>
          <w:color w:val="A6A6A6" w:themeColor="background1" w:themeShade="A6"/>
        </w:rPr>
      </w:pPr>
      <w:proofErr w:type="spellStart"/>
      <w:r w:rsidRPr="00DD3CB9">
        <w:rPr>
          <w:color w:val="A6A6A6" w:themeColor="background1" w:themeShade="A6"/>
        </w:rPr>
        <w:t>Indemnity</w:t>
      </w:r>
      <w:proofErr w:type="spellEnd"/>
    </w:p>
    <w:p w14:paraId="335C089A" w14:textId="1E597CF2" w:rsidR="00B975A0" w:rsidRPr="00DD3CB9" w:rsidRDefault="00B975A0" w:rsidP="00B975A0">
      <w:pPr>
        <w:pStyle w:val="Listenabsatz"/>
        <w:numPr>
          <w:ilvl w:val="1"/>
          <w:numId w:val="1"/>
        </w:numPr>
        <w:kinsoku w:val="0"/>
        <w:overflowPunct w:val="0"/>
        <w:spacing w:before="5" w:line="249" w:lineRule="auto"/>
        <w:ind w:right="102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liability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own,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slightly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negligent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performance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slight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negligence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legal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representatives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managers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simple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vicarious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agents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excluded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except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cases</w:t>
      </w:r>
      <w:proofErr w:type="spellEnd"/>
    </w:p>
    <w:p w14:paraId="6CC2BDE1" w14:textId="77777777" w:rsidR="00B975A0" w:rsidRPr="00DD3CB9" w:rsidRDefault="00B975A0" w:rsidP="003D37CE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a)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liability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according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Product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Liability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Act (Produkthaftungsgesetz) </w:t>
      </w:r>
    </w:p>
    <w:p w14:paraId="05FB5AF3" w14:textId="77777777" w:rsidR="00B975A0" w:rsidRPr="00DD3CB9" w:rsidRDefault="00B975A0" w:rsidP="003D37CE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b)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violation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fundamental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contract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obligations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those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obligations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due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fulfilment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relies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on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on,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rule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;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case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liability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limited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compensation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foreseeable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typically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occurring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damage</w:t>
      </w:r>
      <w:proofErr w:type="spellEnd"/>
    </w:p>
    <w:p w14:paraId="16DCD9A5" w14:textId="77777777" w:rsidR="00B975A0" w:rsidRPr="00DD3CB9" w:rsidRDefault="00B975A0" w:rsidP="003D37CE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c)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injury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life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health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similar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essential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objects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legal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protection</w:t>
      </w:r>
      <w:proofErr w:type="spellEnd"/>
    </w:p>
    <w:p w14:paraId="31965FB7" w14:textId="77777777" w:rsidR="00B975A0" w:rsidRPr="00DD3CB9" w:rsidRDefault="00B975A0" w:rsidP="003D37CE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d)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violation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express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warranties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quality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other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guarantees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0D17823E" w14:textId="5A0D56AA" w:rsidR="00C369D7" w:rsidRPr="00DD3CB9" w:rsidRDefault="00B975A0" w:rsidP="00B975A0">
      <w:pPr>
        <w:pStyle w:val="Listenabsatz"/>
        <w:numPr>
          <w:ilvl w:val="1"/>
          <w:numId w:val="1"/>
        </w:numPr>
        <w:kinsoku w:val="0"/>
        <w:overflowPunct w:val="0"/>
        <w:spacing w:before="5" w:line="249" w:lineRule="auto"/>
        <w:ind w:right="102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Where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above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liability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excluded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limited,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also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benefit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personal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liability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legal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representatives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executive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employees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simple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vicarious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agents</w:t>
      </w:r>
      <w:proofErr w:type="spellEnd"/>
      <w:r w:rsidR="000C7A11" w:rsidRPr="00DD3CB9">
        <w:rPr>
          <w:color w:val="A6A6A6" w:themeColor="background1" w:themeShade="A6"/>
          <w:sz w:val="13"/>
          <w:szCs w:val="13"/>
        </w:rPr>
        <w:t xml:space="preserve">. </w:t>
      </w:r>
    </w:p>
    <w:p w14:paraId="0D17823F" w14:textId="2F4A93F4" w:rsidR="00C369D7" w:rsidRPr="00DD3CB9" w:rsidRDefault="003D37CE">
      <w:pPr>
        <w:pStyle w:val="berschrift11"/>
        <w:numPr>
          <w:ilvl w:val="0"/>
          <w:numId w:val="1"/>
        </w:numPr>
        <w:tabs>
          <w:tab w:val="left" w:pos="388"/>
        </w:tabs>
        <w:kinsoku w:val="0"/>
        <w:overflowPunct w:val="0"/>
        <w:ind w:left="387"/>
        <w:outlineLvl w:val="9"/>
        <w:rPr>
          <w:color w:val="A6A6A6" w:themeColor="background1" w:themeShade="A6"/>
        </w:rPr>
      </w:pPr>
      <w:r w:rsidRPr="00DD3CB9">
        <w:rPr>
          <w:color w:val="A6A6A6" w:themeColor="background1" w:themeShade="A6"/>
        </w:rPr>
        <w:t xml:space="preserve">Retention </w:t>
      </w:r>
      <w:proofErr w:type="spellStart"/>
      <w:r w:rsidRPr="00DD3CB9">
        <w:rPr>
          <w:color w:val="A6A6A6" w:themeColor="background1" w:themeShade="A6"/>
        </w:rPr>
        <w:t>of</w:t>
      </w:r>
      <w:proofErr w:type="spellEnd"/>
      <w:r w:rsidRPr="00DD3CB9">
        <w:rPr>
          <w:color w:val="A6A6A6" w:themeColor="background1" w:themeShade="A6"/>
        </w:rPr>
        <w:t xml:space="preserve"> title </w:t>
      </w:r>
    </w:p>
    <w:p w14:paraId="356B3324" w14:textId="775215F9" w:rsidR="003D37CE" w:rsidRPr="00DD3CB9" w:rsidRDefault="003D37CE" w:rsidP="003D37CE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sold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remain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property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until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from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business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connection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with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paid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full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authorised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dispose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purchased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ordinary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course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business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7B8005E0" w14:textId="48DC8F45" w:rsidR="003D37CE" w:rsidRPr="00DD3CB9" w:rsidRDefault="003D37CE" w:rsidP="003D37CE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retention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title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also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extend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full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value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products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that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created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through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processing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mixing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connection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whose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manufacturer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considered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processed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mixed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connected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with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third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party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retains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title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obtain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joint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ownership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at a pro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rata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ratio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invoice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amounts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processed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2DB92D6F" w14:textId="4216A46C" w:rsidR="003D37CE" w:rsidRPr="00DD3CB9" w:rsidRDefault="003D37CE" w:rsidP="003D37CE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subrogating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any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against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third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parties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arising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from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resale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their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full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amount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amount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joint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ownership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(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para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8.2),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any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security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property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authorised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collect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on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account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until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revoked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until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payment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stopped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not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authorised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revoke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even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purpose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assigning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way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factoring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unless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obligation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factor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also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established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ensure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that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consideration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paid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directly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amount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long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towards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exist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0D178243" w14:textId="77DD0AC7" w:rsidR="00C369D7" w:rsidRPr="00DD3CB9" w:rsidRDefault="003D37CE" w:rsidP="003D37CE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notify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without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delay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registered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letter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third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parties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accessing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which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take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their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place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must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neither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pledged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third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parties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nor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transferred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assigned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security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until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have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paid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full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0D178246" w14:textId="55C216D0" w:rsidR="00C369D7" w:rsidRPr="00DD3CB9" w:rsidRDefault="003D37CE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outlineLvl w:val="9"/>
        <w:rPr>
          <w:color w:val="A6A6A6" w:themeColor="background1" w:themeShade="A6"/>
        </w:rPr>
      </w:pPr>
      <w:r w:rsidRPr="00DD3CB9">
        <w:rPr>
          <w:color w:val="A6A6A6" w:themeColor="background1" w:themeShade="A6"/>
        </w:rPr>
        <w:t xml:space="preserve">Place </w:t>
      </w:r>
      <w:proofErr w:type="spellStart"/>
      <w:r w:rsidRPr="00DD3CB9">
        <w:rPr>
          <w:color w:val="A6A6A6" w:themeColor="background1" w:themeShade="A6"/>
        </w:rPr>
        <w:t>of</w:t>
      </w:r>
      <w:proofErr w:type="spellEnd"/>
      <w:r w:rsidRPr="00DD3CB9">
        <w:rPr>
          <w:color w:val="A6A6A6" w:themeColor="background1" w:themeShade="A6"/>
        </w:rPr>
        <w:t xml:space="preserve"> </w:t>
      </w:r>
      <w:proofErr w:type="spellStart"/>
      <w:r w:rsidRPr="00DD3CB9">
        <w:rPr>
          <w:color w:val="A6A6A6" w:themeColor="background1" w:themeShade="A6"/>
        </w:rPr>
        <w:t>performance</w:t>
      </w:r>
      <w:proofErr w:type="spellEnd"/>
      <w:r w:rsidRPr="00DD3CB9">
        <w:rPr>
          <w:color w:val="A6A6A6" w:themeColor="background1" w:themeShade="A6"/>
        </w:rPr>
        <w:t xml:space="preserve"> and </w:t>
      </w:r>
      <w:proofErr w:type="spellStart"/>
      <w:r w:rsidRPr="00DD3CB9">
        <w:rPr>
          <w:color w:val="A6A6A6" w:themeColor="background1" w:themeShade="A6"/>
        </w:rPr>
        <w:t>place</w:t>
      </w:r>
      <w:proofErr w:type="spellEnd"/>
      <w:r w:rsidRPr="00DD3CB9">
        <w:rPr>
          <w:color w:val="A6A6A6" w:themeColor="background1" w:themeShade="A6"/>
        </w:rPr>
        <w:t xml:space="preserve"> </w:t>
      </w:r>
      <w:proofErr w:type="spellStart"/>
      <w:r w:rsidRPr="00DD3CB9">
        <w:rPr>
          <w:color w:val="A6A6A6" w:themeColor="background1" w:themeShade="A6"/>
        </w:rPr>
        <w:t>of</w:t>
      </w:r>
      <w:proofErr w:type="spellEnd"/>
      <w:r w:rsidRPr="00DD3CB9">
        <w:rPr>
          <w:color w:val="A6A6A6" w:themeColor="background1" w:themeShade="A6"/>
        </w:rPr>
        <w:t xml:space="preserve"> </w:t>
      </w:r>
      <w:proofErr w:type="spellStart"/>
      <w:r w:rsidRPr="00DD3CB9">
        <w:rPr>
          <w:color w:val="A6A6A6" w:themeColor="background1" w:themeShade="A6"/>
        </w:rPr>
        <w:t>jurisdiction</w:t>
      </w:r>
      <w:proofErr w:type="spellEnd"/>
    </w:p>
    <w:p w14:paraId="7C4668FD" w14:textId="451B1C54" w:rsidR="003D37CE" w:rsidRPr="00DD3CB9" w:rsidRDefault="003D37CE" w:rsidP="003D37CE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law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Federal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Republic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Germany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to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terms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business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all legal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relations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between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us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. The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applicability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uniform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law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on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international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sale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goods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(CISG)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excluded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34369F9B" w14:textId="79EA8AA5" w:rsidR="003D37CE" w:rsidRPr="00DD3CB9" w:rsidRDefault="003D37CE" w:rsidP="003D37CE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r w:rsidRPr="00DD3CB9">
        <w:rPr>
          <w:color w:val="A6A6A6" w:themeColor="background1" w:themeShade="A6"/>
          <w:sz w:val="13"/>
          <w:szCs w:val="13"/>
        </w:rPr>
        <w:t xml:space="preserve">Place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performance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delivery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payment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Cologne.</w:t>
      </w:r>
    </w:p>
    <w:p w14:paraId="0D17824A" w14:textId="059E7ECE" w:rsidR="00C369D7" w:rsidRDefault="003D37CE" w:rsidP="003D37CE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all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disputes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arising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directly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indirectly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from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contractual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relationship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place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jurisdiction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for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both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parties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shall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Cologne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another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place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our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choice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buyer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is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a registered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merchant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regardless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value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of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the</w:t>
      </w:r>
      <w:proofErr w:type="spellEnd"/>
      <w:r w:rsidRPr="00DD3CB9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DD3CB9">
        <w:rPr>
          <w:color w:val="A6A6A6" w:themeColor="background1" w:themeShade="A6"/>
          <w:sz w:val="13"/>
          <w:szCs w:val="13"/>
        </w:rPr>
        <w:t>claim</w:t>
      </w:r>
      <w:proofErr w:type="spellEnd"/>
      <w:r w:rsidRPr="00DD3CB9">
        <w:rPr>
          <w:color w:val="A6A6A6" w:themeColor="background1" w:themeShade="A6"/>
          <w:sz w:val="13"/>
          <w:szCs w:val="13"/>
        </w:rPr>
        <w:t>.</w:t>
      </w:r>
    </w:p>
    <w:p w14:paraId="2C735A1D" w14:textId="5AB3E15F" w:rsidR="005E20EE" w:rsidRPr="005E20EE" w:rsidRDefault="005E20EE" w:rsidP="005E20EE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A6A6A6" w:themeColor="background1" w:themeShade="A6"/>
          <w:sz w:val="13"/>
          <w:szCs w:val="13"/>
        </w:rPr>
      </w:pPr>
      <w:proofErr w:type="spellStart"/>
      <w:r w:rsidRPr="005E20EE">
        <w:rPr>
          <w:color w:val="A6A6A6" w:themeColor="background1" w:themeShade="A6"/>
          <w:sz w:val="13"/>
          <w:szCs w:val="13"/>
        </w:rPr>
        <w:t>If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a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provision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of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these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terms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conditions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of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business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or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a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provision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that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is</w:t>
      </w:r>
      <w:proofErr w:type="spellEnd"/>
      <w:r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part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of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other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agreements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is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or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become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void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,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this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does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not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affect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the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validity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of</w:t>
      </w:r>
      <w:proofErr w:type="spellEnd"/>
      <w:r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any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of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the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remaining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provisions</w:t>
      </w:r>
      <w:proofErr w:type="spellEnd"/>
      <w:r w:rsidRPr="005E20EE">
        <w:rPr>
          <w:color w:val="A6A6A6" w:themeColor="background1" w:themeShade="A6"/>
          <w:sz w:val="13"/>
          <w:szCs w:val="13"/>
        </w:rPr>
        <w:t xml:space="preserve"> and </w:t>
      </w:r>
      <w:proofErr w:type="spellStart"/>
      <w:r w:rsidRPr="005E20EE">
        <w:rPr>
          <w:color w:val="A6A6A6" w:themeColor="background1" w:themeShade="A6"/>
          <w:sz w:val="13"/>
          <w:szCs w:val="13"/>
        </w:rPr>
        <w:t>agreements</w:t>
      </w:r>
      <w:proofErr w:type="spellEnd"/>
      <w:r w:rsidRPr="005E20EE">
        <w:rPr>
          <w:color w:val="A6A6A6" w:themeColor="background1" w:themeShade="A6"/>
          <w:sz w:val="13"/>
          <w:szCs w:val="13"/>
        </w:rPr>
        <w:t>.</w:t>
      </w:r>
    </w:p>
    <w:sectPr w:rsidR="005E20EE" w:rsidRPr="005E20EE" w:rsidSect="002C380B">
      <w:type w:val="continuous"/>
      <w:pgSz w:w="11910" w:h="16850"/>
      <w:pgMar w:top="1440" w:right="1080" w:bottom="1440" w:left="1080" w:header="142" w:footer="720" w:gutter="0"/>
      <w:cols w:num="2" w:space="720" w:equalWidth="0">
        <w:col w:w="4745" w:space="528"/>
        <w:col w:w="447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AD2D" w14:textId="77777777" w:rsidR="00A323EF" w:rsidRDefault="00A323EF" w:rsidP="008D0849">
      <w:r>
        <w:separator/>
      </w:r>
    </w:p>
  </w:endnote>
  <w:endnote w:type="continuationSeparator" w:id="0">
    <w:p w14:paraId="187DEED6" w14:textId="77777777" w:rsidR="00A323EF" w:rsidRDefault="00A323EF" w:rsidP="008D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BDC7" w14:textId="77777777" w:rsidR="00A323EF" w:rsidRDefault="00A323EF" w:rsidP="008D0849">
      <w:r>
        <w:separator/>
      </w:r>
    </w:p>
  </w:footnote>
  <w:footnote w:type="continuationSeparator" w:id="0">
    <w:p w14:paraId="297CE5FB" w14:textId="77777777" w:rsidR="00A323EF" w:rsidRDefault="00A323EF" w:rsidP="008D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E663" w14:textId="77777777" w:rsidR="007E68FC" w:rsidRDefault="008D0849" w:rsidP="00E57258">
    <w:pPr>
      <w:pStyle w:val="Kopfzeile"/>
      <w:tabs>
        <w:tab w:val="clear" w:pos="4536"/>
        <w:tab w:val="center" w:pos="4820"/>
      </w:tabs>
      <w:rPr>
        <w:noProof/>
      </w:rPr>
    </w:pPr>
    <w:r>
      <w:tab/>
    </w:r>
  </w:p>
  <w:p w14:paraId="12735F68" w14:textId="77777777" w:rsidR="007E68FC" w:rsidRDefault="007E68FC" w:rsidP="00E57258">
    <w:pPr>
      <w:pStyle w:val="Kopfzeile"/>
      <w:tabs>
        <w:tab w:val="clear" w:pos="4536"/>
        <w:tab w:val="center" w:pos="4820"/>
      </w:tabs>
    </w:pPr>
  </w:p>
  <w:p w14:paraId="350DCD91" w14:textId="77777777" w:rsidR="007E68FC" w:rsidRDefault="007E68FC" w:rsidP="00E57258">
    <w:pPr>
      <w:pStyle w:val="Kopfzeile"/>
      <w:tabs>
        <w:tab w:val="clear" w:pos="4536"/>
        <w:tab w:val="center" w:pos="4820"/>
      </w:tabs>
    </w:pPr>
  </w:p>
  <w:p w14:paraId="0D17824F" w14:textId="6F1FE129" w:rsidR="008D0849" w:rsidRDefault="008D0849" w:rsidP="00E57258">
    <w:pPr>
      <w:pStyle w:val="Kopfzeile"/>
      <w:tabs>
        <w:tab w:val="clear" w:pos="4536"/>
        <w:tab w:val="center" w:pos="4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07E5A12"/>
    <w:lvl w:ilvl="0">
      <w:start w:val="1"/>
      <w:numFmt w:val="decimal"/>
      <w:lvlText w:val="%1"/>
      <w:lvlJc w:val="left"/>
      <w:pPr>
        <w:ind w:left="386" w:hanging="284"/>
      </w:pPr>
      <w:rPr>
        <w:rFonts w:ascii="Arial" w:hAnsi="Arial" w:cs="Times New Roman" w:hint="default"/>
        <w:b/>
        <w:bCs/>
        <w:color w:val="A6A6A6" w:themeColor="background1" w:themeShade="A6"/>
        <w:w w:val="98"/>
        <w:sz w:val="13"/>
        <w:szCs w:val="13"/>
      </w:rPr>
    </w:lvl>
    <w:lvl w:ilvl="1">
      <w:start w:val="1"/>
      <w:numFmt w:val="decimal"/>
      <w:lvlText w:val="%1.%2"/>
      <w:lvlJc w:val="left"/>
      <w:pPr>
        <w:ind w:left="386" w:hanging="273"/>
      </w:pPr>
      <w:rPr>
        <w:rFonts w:ascii="Arial" w:hAnsi="Arial" w:cs="Times New Roman" w:hint="default"/>
        <w:b w:val="0"/>
        <w:bCs w:val="0"/>
        <w:color w:val="A6A6A6" w:themeColor="background1" w:themeShade="A6"/>
        <w:w w:val="94"/>
        <w:sz w:val="13"/>
        <w:szCs w:val="13"/>
      </w:rPr>
    </w:lvl>
    <w:lvl w:ilvl="2">
      <w:numFmt w:val="bullet"/>
      <w:lvlText w:val="Ô"/>
      <w:lvlJc w:val="left"/>
      <w:pPr>
        <w:ind w:left="0" w:hanging="200"/>
      </w:pPr>
      <w:rPr>
        <w:rFonts w:hint="default"/>
      </w:rPr>
    </w:lvl>
    <w:lvl w:ilvl="3">
      <w:numFmt w:val="bullet"/>
      <w:lvlText w:val="Ô"/>
      <w:lvlJc w:val="left"/>
      <w:pPr>
        <w:ind w:left="0" w:hanging="200"/>
      </w:pPr>
      <w:rPr>
        <w:rFonts w:hint="default"/>
      </w:rPr>
    </w:lvl>
    <w:lvl w:ilvl="4">
      <w:numFmt w:val="bullet"/>
      <w:lvlText w:val="Ô"/>
      <w:lvlJc w:val="left"/>
      <w:pPr>
        <w:ind w:left="0" w:hanging="200"/>
      </w:pPr>
      <w:rPr>
        <w:rFonts w:hint="default"/>
      </w:rPr>
    </w:lvl>
    <w:lvl w:ilvl="5">
      <w:numFmt w:val="bullet"/>
      <w:lvlText w:val="Ô"/>
      <w:lvlJc w:val="left"/>
      <w:pPr>
        <w:ind w:left="0" w:hanging="200"/>
      </w:pPr>
      <w:rPr>
        <w:rFonts w:hint="default"/>
      </w:rPr>
    </w:lvl>
    <w:lvl w:ilvl="6">
      <w:numFmt w:val="bullet"/>
      <w:lvlText w:val="Ô"/>
      <w:lvlJc w:val="left"/>
      <w:pPr>
        <w:ind w:left="0" w:hanging="200"/>
      </w:pPr>
      <w:rPr>
        <w:rFonts w:hint="default"/>
      </w:rPr>
    </w:lvl>
    <w:lvl w:ilvl="7">
      <w:numFmt w:val="bullet"/>
      <w:lvlText w:val="Ô"/>
      <w:lvlJc w:val="left"/>
      <w:pPr>
        <w:ind w:left="0" w:hanging="200"/>
      </w:pPr>
      <w:rPr>
        <w:rFonts w:hint="default"/>
      </w:rPr>
    </w:lvl>
    <w:lvl w:ilvl="8">
      <w:numFmt w:val="bullet"/>
      <w:lvlText w:val="Ô"/>
      <w:lvlJc w:val="left"/>
      <w:pPr>
        <w:ind w:left="0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9D"/>
    <w:rsid w:val="0007040A"/>
    <w:rsid w:val="00081061"/>
    <w:rsid w:val="000C7A11"/>
    <w:rsid w:val="00101839"/>
    <w:rsid w:val="001969BF"/>
    <w:rsid w:val="001A7C08"/>
    <w:rsid w:val="001E5BCC"/>
    <w:rsid w:val="00214604"/>
    <w:rsid w:val="0022466B"/>
    <w:rsid w:val="00234925"/>
    <w:rsid w:val="002707F3"/>
    <w:rsid w:val="00294913"/>
    <w:rsid w:val="002A109D"/>
    <w:rsid w:val="002B3B00"/>
    <w:rsid w:val="002C380B"/>
    <w:rsid w:val="002C3C5A"/>
    <w:rsid w:val="002C46A6"/>
    <w:rsid w:val="00337065"/>
    <w:rsid w:val="00364750"/>
    <w:rsid w:val="00365D96"/>
    <w:rsid w:val="003A41FC"/>
    <w:rsid w:val="003D37CE"/>
    <w:rsid w:val="00414634"/>
    <w:rsid w:val="004200F8"/>
    <w:rsid w:val="004C4124"/>
    <w:rsid w:val="004C728B"/>
    <w:rsid w:val="004E67BB"/>
    <w:rsid w:val="005503DA"/>
    <w:rsid w:val="00571AE3"/>
    <w:rsid w:val="005E20EE"/>
    <w:rsid w:val="005E778A"/>
    <w:rsid w:val="00627A47"/>
    <w:rsid w:val="00632F3A"/>
    <w:rsid w:val="0066040A"/>
    <w:rsid w:val="006B707F"/>
    <w:rsid w:val="006B7833"/>
    <w:rsid w:val="006F4763"/>
    <w:rsid w:val="00731158"/>
    <w:rsid w:val="007352CE"/>
    <w:rsid w:val="0078625B"/>
    <w:rsid w:val="0079016D"/>
    <w:rsid w:val="007918CF"/>
    <w:rsid w:val="007B7653"/>
    <w:rsid w:val="007C1FED"/>
    <w:rsid w:val="007E68FC"/>
    <w:rsid w:val="00844654"/>
    <w:rsid w:val="00885E3B"/>
    <w:rsid w:val="00897911"/>
    <w:rsid w:val="008C57BF"/>
    <w:rsid w:val="008D0849"/>
    <w:rsid w:val="008E637A"/>
    <w:rsid w:val="00975716"/>
    <w:rsid w:val="009E41C0"/>
    <w:rsid w:val="009E7884"/>
    <w:rsid w:val="00A0606F"/>
    <w:rsid w:val="00A323EF"/>
    <w:rsid w:val="00A5649C"/>
    <w:rsid w:val="00A855BC"/>
    <w:rsid w:val="00B04397"/>
    <w:rsid w:val="00B272AA"/>
    <w:rsid w:val="00B35715"/>
    <w:rsid w:val="00B663B0"/>
    <w:rsid w:val="00B975A0"/>
    <w:rsid w:val="00BD324B"/>
    <w:rsid w:val="00BF3AEA"/>
    <w:rsid w:val="00C03721"/>
    <w:rsid w:val="00C369D7"/>
    <w:rsid w:val="00CE5BA7"/>
    <w:rsid w:val="00DD3CB9"/>
    <w:rsid w:val="00E0687A"/>
    <w:rsid w:val="00E47242"/>
    <w:rsid w:val="00E57258"/>
    <w:rsid w:val="00EA23F0"/>
    <w:rsid w:val="00ED7C45"/>
    <w:rsid w:val="00F01A73"/>
    <w:rsid w:val="00F80DC2"/>
    <w:rsid w:val="00F96CD2"/>
    <w:rsid w:val="00FA3F8D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178215"/>
  <w14:defaultImageDpi w14:val="96"/>
  <w15:docId w15:val="{DBD493DB-BAFF-41FE-AD28-CEE92668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386" w:hanging="283"/>
      <w:jc w:val="both"/>
    </w:pPr>
    <w:rPr>
      <w:sz w:val="13"/>
      <w:szCs w:val="13"/>
    </w:rPr>
  </w:style>
  <w:style w:type="paragraph" w:customStyle="1" w:styleId="berschrift11">
    <w:name w:val="Überschrift 11"/>
    <w:basedOn w:val="Standard"/>
    <w:uiPriority w:val="1"/>
    <w:qFormat/>
    <w:pPr>
      <w:spacing w:before="156"/>
      <w:ind w:left="386" w:hanging="284"/>
      <w:outlineLvl w:val="0"/>
    </w:pPr>
    <w:rPr>
      <w:b/>
      <w:bCs/>
      <w:sz w:val="13"/>
      <w:szCs w:val="13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86" w:hanging="283"/>
      <w:jc w:val="both"/>
    </w:p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D08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084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D0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084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0B65057718C4EA73B1EC79339BBBE" ma:contentTypeVersion="3" ma:contentTypeDescription="Create a new document." ma:contentTypeScope="" ma:versionID="8ab35f349e2fc79d1b6d88c1341205cc">
  <xsd:schema xmlns:xsd="http://www.w3.org/2001/XMLSchema" xmlns:xs="http://www.w3.org/2001/XMLSchema" xmlns:p="http://schemas.microsoft.com/office/2006/metadata/properties" xmlns:ns2="a9f8695d-1a99-49c3-8b47-0c795383e1d1" targetNamespace="http://schemas.microsoft.com/office/2006/metadata/properties" ma:root="true" ma:fieldsID="a7732881590f18d198d040ec24121bf9" ns2:_="">
    <xsd:import namespace="a9f8695d-1a99-49c3-8b47-0c795383e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Comment" minOccurs="0"/>
                <xsd:element ref="ns2:MinorVersion" minOccurs="0"/>
                <xsd:element ref="ns2:MajorVersion" minOccurs="0"/>
                <xsd:element ref="ns2:EliteDepartment" minOccurs="0"/>
                <xsd:element ref="ns2:Matternumber" minOccurs="0"/>
                <xsd:element ref="ns2:Clientname" minOccurs="0"/>
                <xsd:element ref="ns2:JointBillID" minOccurs="0"/>
                <xsd:element ref="ns2:MatterLocation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695d-1a99-49c3-8b47-0c795383e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ersionComment" ma:index="11" nillable="true" ma:displayName="Version Comment" ma:internalName="VersionComment">
      <xsd:simpleType>
        <xsd:restriction base="dms:Note"/>
      </xsd:simpleType>
    </xsd:element>
    <xsd:element name="MinorVersion" ma:index="12" nillable="true" ma:displayName="Minor Version" ma:internalName="MinorVersion">
      <xsd:simpleType>
        <xsd:restriction base="dms:Text"/>
      </xsd:simpleType>
    </xsd:element>
    <xsd:element name="MajorVersion" ma:index="13" nillable="true" ma:displayName="Major Version" ma:internalName="MajorVersion">
      <xsd:simpleType>
        <xsd:restriction base="dms:Text"/>
      </xsd:simpleType>
    </xsd:element>
    <xsd:element name="EliteDepartment" ma:index="14" nillable="true" ma:displayName="Elite Department" ma:default="Comm" ma:internalName="EliteDepartment">
      <xsd:simpleType>
        <xsd:restriction base="dms:Text"/>
      </xsd:simpleType>
    </xsd:element>
    <xsd:element name="Matternumber" ma:index="15" nillable="true" ma:displayName="Matternumber" ma:default="2016/12446" ma:internalName="Matternumber">
      <xsd:simpleType>
        <xsd:restriction base="dms:Text"/>
      </xsd:simpleType>
    </xsd:element>
    <xsd:element name="Clientname" ma:index="16" nillable="true" ma:displayName="Clientname" ma:default="Objectflor Art und Design Belags GmbH " ma:internalName="Clientname">
      <xsd:simpleType>
        <xsd:restriction base="dms:Text"/>
      </xsd:simpleType>
    </xsd:element>
    <xsd:element name="JointBillID" ma:index="17" nillable="true" ma:displayName="JointBill ID" ma:default="objectflor/kgyys" ma:internalName="JointBillID">
      <xsd:simpleType>
        <xsd:restriction base="dms:Text"/>
      </xsd:simpleType>
    </xsd:element>
    <xsd:element name="MatterLocation" ma:index="18" nillable="true" ma:displayName="Matter Location" ma:default="Köln" ma:internalName="MatterLocation">
      <xsd:simpleType>
        <xsd:restriction base="dms:Text"/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500b17ea-35ca-4578-a248-99b93c58e1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7094d6aa-f4e8-4fe5-9747-0a73c107477b}" ma:internalName="TaxCatchAll" ma:showField="CatchAllData" ma:web="a9f8695d-1a99-49c3-8b47-0c795383e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9f8695d-1a99-49c3-8b47-0c795383e1d1">
      <Terms xmlns="http://schemas.microsoft.com/office/infopath/2007/PartnerControls"/>
    </TaxKeywordTaxHTField>
    <VersionComment xmlns="a9f8695d-1a99-49c3-8b47-0c795383e1d1" xsi:nil="true"/>
    <TaxCatchAll xmlns="a9f8695d-1a99-49c3-8b47-0c795383e1d1"/>
    <Clientname xmlns="a9f8695d-1a99-49c3-8b47-0c795383e1d1">Objectflor Art und Design Belags GmbH </Clientname>
    <MajorVersion xmlns="a9f8695d-1a99-49c3-8b47-0c795383e1d1">0</MajorVersion>
    <EliteDepartment xmlns="a9f8695d-1a99-49c3-8b47-0c795383e1d1">Comm</EliteDepartment>
    <MatterLocation xmlns="a9f8695d-1a99-49c3-8b47-0c795383e1d1">Köln</MatterLocation>
    <Matternumber xmlns="a9f8695d-1a99-49c3-8b47-0c795383e1d1">2016/12446</Matternumber>
    <JointBillID xmlns="a9f8695d-1a99-49c3-8b47-0c795383e1d1">objectflor/kgyys</JointBillID>
    <MinorVersion xmlns="a9f8695d-1a99-49c3-8b47-0c795383e1d1">1</MinorVersion>
    <_dlc_DocId xmlns="a9f8695d-1a99-49c3-8b47-0c795383e1d1">XAZCPCHNFEWR-2054864360-38</_dlc_DocId>
    <_dlc_DocIdUrl xmlns="a9f8695d-1a99-49c3-8b47-0c795383e1d1">
      <Url>http://eakte.ad.cmsd.de/akte/201612446/_layouts/15/DocIdRedir.aspx?ID=XAZCPCHNFEWR-2054864360-38</Url>
      <Description>XAZCPCHNFEWR-2054864360-38</Description>
    </_dlc_DocIdUrl>
    <_dlc_DocIdPersistId xmlns="a9f8695d-1a99-49c3-8b47-0c795383e1d1">true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7ABB-3057-4021-8BBB-3EE5878AFE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D5071E-D4B7-4C1B-A0B7-C3D116456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8695d-1a99-49c3-8b47-0c795383e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AEEC5-4D38-49C0-862D-652D29BEB8EC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f8695d-1a99-49c3-8b47-0c795383e1d1"/>
  </ds:schemaRefs>
</ds:datastoreItem>
</file>

<file path=customXml/itemProps4.xml><?xml version="1.0" encoding="utf-8"?>
<ds:datastoreItem xmlns:ds="http://schemas.openxmlformats.org/officeDocument/2006/customXml" ds:itemID="{6FA9CF5C-87CA-4A45-82A9-476ECA817A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364BC4-5B9B-4841-BEB7-47D3EF8C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AGBs D-E_NL_F Objectflor.indd</vt:lpstr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AGBs D-E_NL_F Objectflor.indd</dc:title>
  <dc:creator>Bohlender, Claudia</dc:creator>
  <cp:lastModifiedBy>Christina Büker</cp:lastModifiedBy>
  <cp:revision>2</cp:revision>
  <dcterms:created xsi:type="dcterms:W3CDTF">2019-01-29T15:01:00Z</dcterms:created>
  <dcterms:modified xsi:type="dcterms:W3CDTF">2019-01-29T15:01:00Z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(5.0)</vt:lpwstr>
  </property>
  <property fmtid="{D5CDD505-2E9C-101B-9397-08002B2CF9AE}" pid="3" name="_AdHocReviewCycleID">
    <vt:i4>-2066024829</vt:i4>
  </property>
  <property fmtid="{D5CDD505-2E9C-101B-9397-08002B2CF9AE}" pid="4" name="_NewReviewCycle">
    <vt:lpwstr/>
  </property>
  <property fmtid="{D5CDD505-2E9C-101B-9397-08002B2CF9AE}" pid="5" name="_EmailSubject">
    <vt:lpwstr>Antwort: RE: Antwort: RE: AGB</vt:lpwstr>
  </property>
  <property fmtid="{D5CDD505-2E9C-101B-9397-08002B2CF9AE}" pid="6" name="ContentTypeId">
    <vt:lpwstr>0x010100A480B65057718C4EA73B1EC79339BBBE</vt:lpwstr>
  </property>
  <property fmtid="{D5CDD505-2E9C-101B-9397-08002B2CF9AE}" pid="7" name="_dlc_DocIdItemGuid">
    <vt:lpwstr>76750851-e5a5-4e0c-b7b0-fdaa0504b2be</vt:lpwstr>
  </property>
  <property fmtid="{D5CDD505-2E9C-101B-9397-08002B2CF9AE}" pid="8" name="TaxKeyword">
    <vt:lpwstr/>
  </property>
  <property fmtid="{D5CDD505-2E9C-101B-9397-08002B2CF9AE}" pid="9" name="Order">
    <vt:r8>1700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PreviousAdHocReviewCycleID">
    <vt:i4>-2040969215</vt:i4>
  </property>
  <property fmtid="{D5CDD505-2E9C-101B-9397-08002B2CF9AE}" pid="14" name="_ReviewingToolsShownOnce">
    <vt:lpwstr/>
  </property>
</Properties>
</file>