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Objectflor auf heinze.de</w:t>
        </w:r>
      </w:hyperlink>
    </w:p>
    <w:tbl>
      <w:tblGrid>
        <w:gridCol w:w="850" w:type="dxa"/>
        <w:gridCol w:w="2000" w:type="dxa"/>
        <w:gridCol w:w="400" w:type="dxa"/>
        <w:gridCol w:w="400" w:type="dxa"/>
        <w:gridCol w:w="400" w:type="dxa"/>
        <w:gridCol w:w="400" w:type="dxa"/>
      </w:tblGrid>
      <w:tblPr>
        <w:tblW w:w="5000" w:type="pct"/>
        <w:tblLayout w:type="autofit"/>
        <w:bidiVisual w:val="0"/>
        <w:tblBorders>
          <w:top w:val="single" w:sz="10" w:color="737373"/>
          <w:left w:val="single" w:sz="10" w:color="737373"/>
          <w:right w:val="single" w:sz="10" w:color="737373"/>
          <w:bottom w:val="single" w:sz="10" w:color="737373"/>
          <w:insideH w:val="single" w:sz="10" w:color="737373"/>
          <w:insideV w:val="single" w:sz="10" w:color="737373"/>
        </w:tblBorders>
      </w:tblPr>
      <w:tr>
        <w:trPr>
          <w:trHeight w:val="" w:hRule="atLeast"/>
          <w:tblHeader w:val="1"/>
        </w:trPr>
        <w:tc>
          <w:tcPr>
            <w:tcW w:w="850" w:type="dxa"/>
            <w:shd w:val="clear" w:fill="d9d9d9"/>
          </w:tcPr>
          <w:p>
            <w:pPr/>
            <w:r>
              <w:rPr>
                <w:rFonts w:ascii="Calibri" w:hAnsi="Calibri" w:eastAsia="Calibri" w:cs="Calibri"/>
                <w:sz w:val="22"/>
                <w:szCs w:val="22"/>
                <w:b w:val="1"/>
                <w:bCs w:val="1"/>
              </w:rPr>
              <w:t xml:space="preserve">Position</w:t>
            </w:r>
          </w:p>
        </w:tc>
        <w:tc>
          <w:tcPr>
            <w:tcW w:w="2000" w:type="dxa"/>
            <w:shd w:val="clear" w:fill="d9d9d9"/>
          </w:tcPr>
          <w:p>
            <w:pPr/>
            <w:r>
              <w:rPr>
                <w:rFonts w:ascii="Calibri" w:hAnsi="Calibri" w:eastAsia="Calibri" w:cs="Calibri"/>
                <w:sz w:val="22"/>
                <w:szCs w:val="22"/>
                <w:b w:val="1"/>
                <w:bCs w:val="1"/>
              </w:rPr>
              <w:t xml:space="preserve">Bezeichnung</w:t>
            </w:r>
          </w:p>
        </w:tc>
        <w:tc>
          <w:tcPr>
            <w:tcW w:w="400" w:type="dxa"/>
            <w:shd w:val="clear" w:fill="d9d9d9"/>
          </w:tcPr>
          <w:p>
            <w:pPr/>
            <w:r>
              <w:rPr>
                <w:rFonts w:ascii="Calibri" w:hAnsi="Calibri" w:eastAsia="Calibri" w:cs="Calibri"/>
                <w:sz w:val="22"/>
                <w:szCs w:val="22"/>
                <w:b w:val="1"/>
                <w:bCs w:val="1"/>
              </w:rPr>
              <w:t xml:space="preserve">Menge</w:t>
            </w:r>
          </w:p>
        </w:tc>
        <w:tc>
          <w:tcPr>
            <w:tcW w:w="400" w:type="dxa"/>
            <w:shd w:val="clear" w:fill="d9d9d9"/>
          </w:tcPr>
          <w:p>
            <w:pPr/>
            <w:r>
              <w:rPr>
                <w:rFonts w:ascii="Calibri" w:hAnsi="Calibri" w:eastAsia="Calibri" w:cs="Calibri"/>
                <w:sz w:val="22"/>
                <w:szCs w:val="22"/>
                <w:b w:val="1"/>
                <w:bCs w:val="1"/>
              </w:rPr>
              <w:t xml:space="preserve">Einheit</w:t>
            </w:r>
          </w:p>
        </w:tc>
        <w:tc>
          <w:tcPr>
            <w:tcW w:w="400" w:type="dxa"/>
            <w:shd w:val="clear" w:fill="d9d9d9"/>
          </w:tcPr>
          <w:p>
            <w:pPr/>
            <w:r>
              <w:rPr>
                <w:rFonts w:ascii="Calibri" w:hAnsi="Calibri" w:eastAsia="Calibri" w:cs="Calibri"/>
                <w:sz w:val="22"/>
                <w:szCs w:val="22"/>
                <w:b w:val="1"/>
                <w:bCs w:val="1"/>
              </w:rPr>
              <w:t xml:space="preserve">EP</w:t>
            </w:r>
          </w:p>
        </w:tc>
        <w:tc>
          <w:tcPr>
            <w:tcW w:w="400" w:type="dxa"/>
            <w:shd w:val="clear" w:fill="d9d9d9"/>
          </w:tcPr>
          <w:p>
            <w:pPr/>
            <w:r>
              <w:rPr>
                <w:rFonts w:ascii="Calibri" w:hAnsi="Calibri" w:eastAsia="Calibri" w:cs="Calibri"/>
                <w:sz w:val="22"/>
                <w:szCs w:val="22"/>
                <w:b w:val="1"/>
                <w:bCs w:val="1"/>
              </w:rPr>
              <w:t xml:space="preserve">GP</w:t>
            </w:r>
          </w:p>
        </w:tc>
      </w:tr>
      <w:tr>
        <w:trPr>
          <w:trHeight w:val="" w:hRule="atLeast"/>
        </w:trPr>
        <w:tc>
          <w:tcPr>
            <w:tcW w:w="850" w:type="dxa"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  <w:b w:val="1"/>
                <w:bCs w:val="1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  <w:b w:val="1"/>
                <w:bCs w:val="1"/>
              </w:rPr>
              <w:t xml:space="preserve">EXPONA Design Flooring</w:t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</w:tr>
      <w:tr>
        <w:trPr>
          <w:trHeight w:val="" w:hRule="atLeast"/>
        </w:trPr>
        <w:tc>
          <w:tcPr>
            <w:tcW w:w="850" w:type="dxa"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  <w:b w:val="1"/>
                <w:bCs w:val="1"/>
              </w:rPr>
              <w:t xml:space="preserve">1.1</w:t>
            </w:r>
          </w:p>
        </w:tc>
        <w:tc>
          <w:tcPr>
            <w:tcW w:w="2000" w:type="dxa"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  <w:b w:val="1"/>
                <w:bCs w:val="1"/>
              </w:rPr>
              <w:t xml:space="preserve">EXPONA LIVING</w:t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</w:tr>
      <w:tr>
        <w:trPr>
          <w:trHeight w:val="" w:hRule="atLeast"/>
        </w:trPr>
        <w:tc>
          <w:tcPr>
            <w:tcW w:w="850" w:type="dxa"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  <w:b w:val="1"/>
                <w:bCs w:val="1"/>
              </w:rPr>
              <w:t xml:space="preserve">1.1.1</w:t>
            </w:r>
          </w:p>
        </w:tc>
        <w:tc>
          <w:tcPr>
            <w:tcW w:w="2000" w:type="dxa"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  <w:b w:val="1"/>
                <w:bCs w:val="1"/>
              </w:rPr>
              <w:t xml:space="preserve">Design-Sockelleiste</w:t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</w:tr>
      <w:tr>
        <w:trPr>
          <w:trHeight w:val="" w:hRule="atLeast"/>
          <w:cantSplit w:val="1"/>
        </w:trPr>
        <w:tc>
          <w:tcPr>
            <w:tcW w:w="85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Design-Sockelleiste aus hochwertigem MDF Holzwerkstoffkern, mit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Folienummantelung. Dekor passend zum LVT Design-Bodenbelag oder neutral Classic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Black, Classic Alu Metallic, Classic White.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Lieferform: Verpackungseinheit mit 5 Stück, je 2,40 m Länge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Abmessungen: 14 x 60 x 2400 mm (Dicke x Höhe x Länge)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Trägermaterial: MDF nach DIN EN 622-5 (Verwendung im Trockenbereich)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Ummantelungsmaterial: Dekorfolie, Acrylmelaminharzfolie, lackiert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Oberfläche: UV-Lack transparent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Fachgerecht befestigen: Leiste verschrauben, nageln oder kleben.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Für schraubenlose Optik/Befestigung: Montage mit CLIPSTAR Befestigungssystem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inkl. sicherer Kabelführung.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Lieferform: Verpackungseinheit 50 Clips inkl. Befestigungsmaterial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Abstand der Clips: 25 50 cm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Design-Sockelleiste oder gleichwertig: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Hersteller/Typ ....................................................... vom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Bieter einzutragen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Abrechnungseinheit: lfm / Verpackungseinheit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CLIPSTAR System oder gleichwertig: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Hersteller/Typ …………………………………………………………..………..… vom Bieter einzutragen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</w:t>
            </w:r>
            <w:br/>
            <w:r>
              <w:rPr>
                <w:rFonts w:ascii="Calibri" w:hAnsi="Calibri" w:eastAsia="Calibri" w:cs="Calibri"/>
                <w:sz w:val="20"/>
                <w:szCs w:val="20"/>
                <w:b w:val="0"/>
                <w:bCs w:val="0"/>
              </w:rPr>
              <w:t xml:space="preserve">Abrechnungseinheit: lfm / Verpackungseinheit</w:t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  <w:tc>
          <w:tcPr>
            <w:tcW w:w="400" w:type="dxa"/>
          </w:tcPr>
          <w:p>
            <w:pPr/>
            <w:r>
              <w:rPr/>
              <w:t xml:space="preserve"/>
            </w:r>
          </w:p>
        </w:tc>
      </w:tr>
      <w:tr>
        <w:trPr>
          <w:trHeight w:val="" w:hRule="atLeast"/>
          <w:cantSplit w:val="1"/>
        </w:trPr>
        <w:tc>
          <w:tcPr>
            <w:tcW w:w="85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400" w:type="dxa"/>
          </w:tcPr>
          <w:p>
            <w:pPr/>
            <w:r>
              <w:rPr/>
              <w:t xml:space="preserve">0</w:t>
            </w:r>
          </w:p>
        </w:tc>
        <w:tc>
          <w:tcPr>
            <w:tcW w:w="400" w:type="dxa"/>
          </w:tcPr>
          <w:p>
            <w:pPr/>
            <w:r>
              <w:rPr/>
              <w:t xml:space="preserve">lfm</w:t>
            </w:r>
          </w:p>
        </w:tc>
        <w:tc>
          <w:tcPr>
            <w:tcW w:w="400" w:type="dxa"/>
          </w:tcPr>
          <w:p>
            <w:pPr/>
            <w:r>
              <w:rPr/>
              <w:t xml:space="preserve">0,00 €</w:t>
            </w:r>
          </w:p>
        </w:tc>
        <w:tc>
          <w:tcPr>
            <w:tcW w:w="400" w:type="dxa"/>
          </w:tcPr>
          <w:p>
            <w:pPr/>
            <w:r>
              <w:rPr/>
              <w:t xml:space="preserve">0,00 €</w:t>
            </w:r>
          </w:p>
        </w:tc>
      </w:tr>
    </w:tbl>
    <w:p>
      <w:pPr/>
      <w:r>
        <w:rPr/>
        <w:t xml:space="preserve">
</w:t>
      </w:r>
    </w:p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Objectflor auf heinze.de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FooterStyle"/>
    </w:pPr>
    <w:r>
      <w:rPr>
        <w:rFonts w:ascii="Calibri" w:hAnsi="Calibri" w:eastAsia="Calibri" w:cs="Calibri"/>
        <w:sz w:val="20"/>
        <w:szCs w:val="20"/>
      </w:rPr>
      <w:t xml:space="preserve">Seite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von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2500" w:type="dxa"/>
    </w:tblGrid>
    <w:tblPr>
      <w:tblW w:w="5000" w:type="pct"/>
      <w:tblLayout w:type="autofit"/>
      <w:bidiVisual w:val="0"/>
    </w:tblPr>
    <w:tr>
      <w:trPr>
        <w:trHeight w:val="" w:hRule="atLeast"/>
      </w:trPr>
      <w:tc>
        <w:tcPr>
          <w:tcW w:w="2500" w:type="dxa"/>
        </w:tcPr>
        <w:p>
          <w:pPr/>
          <w:r>
            <w:rPr>
              <w:rFonts w:ascii="Calibri" w:hAnsi="Calibri" w:eastAsia="Calibri" w:cs="Calibri"/>
              <w:sz w:val="40"/>
              <w:szCs w:val="40"/>
              <w:b w:val="1"/>
              <w:bCs w:val="1"/>
            </w:rPr>
            <w:t xml:space="preserve">Objectflor</w:t>
          </w:r>
        </w:p>
      </w:tc>
      <w:tc>
        <w:tcPr>
          <w:tcW w:w="2500" w:type="dxa"/>
        </w:tcPr>
        <w:p>
          <w:pPr>
            <w:jc w:val="end"/>
          </w:pPr>
          <w:r>
            <w:pict>
              <v:shape type="#_x0000_t75" stroked="f" style="width:100pt; height:33.333333333333pt; margin-left:0pt; margin-top:0pt; mso-position-horizontal:left; mso-position-vertical:top; mso-position-horizontal-relative:char; mso-position-vertical-relative:line;">
                <w10:wrap type="squar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FooterStyle">
    <w:name w:val="paragraphFooterStyle"/>
    <w:basedOn w:val="Normal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inze.de/themenkosmos/226183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2022-06-17T09:06:48+02:00</dcterms:created>
  <dcterms:modified xsi:type="dcterms:W3CDTF">2022-06-17T09:06:48+02:00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