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hyperlink r:id="rId7" w:history="1">
        <w:r>
          <w:rPr>
            <w:rFonts w:ascii="Calibri" w:hAnsi="Calibri" w:eastAsia="Calibri" w:cs="Calibri"/>
            <w:color w:val="#0000ff"/>
            <w:sz w:val="20"/>
            <w:szCs w:val="20"/>
            <w:u w:val="single"/>
          </w:rPr>
          <w:t xml:space="preserve">Objectflor auf heinze.de</w:t>
        </w:r>
      </w:hyperlink>
    </w:p>
    <w:tbl>
      <w:tblGrid>
        <w:gridCol w:w="850" w:type="dxa"/>
        <w:gridCol w:w="2000" w:type="dxa"/>
        <w:gridCol w:w="400" w:type="dxa"/>
        <w:gridCol w:w="400" w:type="dxa"/>
        <w:gridCol w:w="400" w:type="dxa"/>
        <w:gridCol w:w="400" w:type="dxa"/>
      </w:tblGrid>
      <w:tblPr>
        <w:tblW w:w="5000" w:type="pct"/>
        <w:tblLayout w:type="autofit"/>
        <w:bidiVisual w:val="0"/>
        <w:tblBorders>
          <w:top w:val="single" w:sz="10" w:color="737373"/>
          <w:left w:val="single" w:sz="10" w:color="737373"/>
          <w:right w:val="single" w:sz="10" w:color="737373"/>
          <w:bottom w:val="single" w:sz="10" w:color="737373"/>
          <w:insideH w:val="single" w:sz="10" w:color="737373"/>
          <w:insideV w:val="single" w:sz="10" w:color="737373"/>
        </w:tblBorders>
      </w:tblPr>
      <w:tr>
        <w:trPr>
          <w:trHeight w:val="" w:hRule="atLeast"/>
          <w:tblHeader w:val="1"/>
        </w:trPr>
        <w:tc>
          <w:tcPr>
            <w:tcW w:w="850" w:type="dxa"/>
            <w:shd w:val="clear" w:fill="d9d9d9"/>
          </w:tcPr>
          <w:p>
            <w:pPr/>
            <w:r>
              <w:rPr>
                <w:rFonts w:ascii="Calibri" w:hAnsi="Calibri" w:eastAsia="Calibri" w:cs="Calibri"/>
                <w:sz w:val="22"/>
                <w:szCs w:val="22"/>
                <w:b w:val="1"/>
                <w:bCs w:val="1"/>
              </w:rPr>
              <w:t xml:space="preserve">Position</w:t>
            </w:r>
          </w:p>
        </w:tc>
        <w:tc>
          <w:tcPr>
            <w:tcW w:w="2000" w:type="dxa"/>
            <w:shd w:val="clear" w:fill="d9d9d9"/>
          </w:tcPr>
          <w:p>
            <w:pPr/>
            <w:r>
              <w:rPr>
                <w:rFonts w:ascii="Calibri" w:hAnsi="Calibri" w:eastAsia="Calibri" w:cs="Calibri"/>
                <w:sz w:val="22"/>
                <w:szCs w:val="22"/>
                <w:b w:val="1"/>
                <w:bCs w:val="1"/>
              </w:rPr>
              <w:t xml:space="preserve">Bezeichnung</w:t>
            </w:r>
          </w:p>
        </w:tc>
        <w:tc>
          <w:tcPr>
            <w:tcW w:w="400" w:type="dxa"/>
            <w:shd w:val="clear" w:fill="d9d9d9"/>
          </w:tcPr>
          <w:p>
            <w:pPr/>
            <w:r>
              <w:rPr>
                <w:rFonts w:ascii="Calibri" w:hAnsi="Calibri" w:eastAsia="Calibri" w:cs="Calibri"/>
                <w:sz w:val="22"/>
                <w:szCs w:val="22"/>
                <w:b w:val="1"/>
                <w:bCs w:val="1"/>
              </w:rPr>
              <w:t xml:space="preserve">Menge</w:t>
            </w:r>
          </w:p>
        </w:tc>
        <w:tc>
          <w:tcPr>
            <w:tcW w:w="400" w:type="dxa"/>
            <w:shd w:val="clear" w:fill="d9d9d9"/>
          </w:tcPr>
          <w:p>
            <w:pPr/>
            <w:r>
              <w:rPr>
                <w:rFonts w:ascii="Calibri" w:hAnsi="Calibri" w:eastAsia="Calibri" w:cs="Calibri"/>
                <w:sz w:val="22"/>
                <w:szCs w:val="22"/>
                <w:b w:val="1"/>
                <w:bCs w:val="1"/>
              </w:rPr>
              <w:t xml:space="preserve">Einheit</w:t>
            </w:r>
          </w:p>
        </w:tc>
        <w:tc>
          <w:tcPr>
            <w:tcW w:w="400" w:type="dxa"/>
            <w:shd w:val="clear" w:fill="d9d9d9"/>
          </w:tcPr>
          <w:p>
            <w:pPr/>
            <w:r>
              <w:rPr>
                <w:rFonts w:ascii="Calibri" w:hAnsi="Calibri" w:eastAsia="Calibri" w:cs="Calibri"/>
                <w:sz w:val="22"/>
                <w:szCs w:val="22"/>
                <w:b w:val="1"/>
                <w:bCs w:val="1"/>
              </w:rPr>
              <w:t xml:space="preserve">EP</w:t>
            </w:r>
          </w:p>
        </w:tc>
        <w:tc>
          <w:tcPr>
            <w:tcW w:w="400" w:type="dxa"/>
            <w:shd w:val="clear" w:fill="d9d9d9"/>
          </w:tcPr>
          <w:p>
            <w:pPr/>
            <w:r>
              <w:rPr>
                <w:rFonts w:ascii="Calibri" w:hAnsi="Calibri" w:eastAsia="Calibri" w:cs="Calibri"/>
                <w:sz w:val="22"/>
                <w:szCs w:val="22"/>
                <w:b w:val="1"/>
                <w:bCs w:val="1"/>
              </w:rPr>
              <w:t xml:space="preserve">GP</w:t>
            </w:r>
          </w:p>
        </w:tc>
      </w:tr>
      <w:tr>
        <w:trPr>
          <w:trHeight w:val="" w:hRule="atLeast"/>
        </w:trPr>
        <w:tc>
          <w:tcPr>
            <w:tcW w:w="850" w:type="dxa"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  <w:b w:val="1"/>
                <w:bCs w:val="1"/>
              </w:rPr>
              <w:t xml:space="preserve">1</w:t>
            </w:r>
          </w:p>
        </w:tc>
        <w:tc>
          <w:tcPr>
            <w:tcW w:w="2000" w:type="dxa"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  <w:b w:val="1"/>
                <w:bCs w:val="1"/>
              </w:rPr>
              <w:t xml:space="preserve">EXPONA Design Flooring</w:t>
            </w:r>
          </w:p>
        </w:tc>
        <w:tc>
          <w:tcPr>
            <w:tcW w:w="400" w:type="dxa"/>
          </w:tcPr>
          <w:p>
            <w:pPr/>
            <w:r>
              <w:rPr/>
              <w:t xml:space="preserve"/>
            </w:r>
          </w:p>
        </w:tc>
        <w:tc>
          <w:tcPr>
            <w:tcW w:w="400" w:type="dxa"/>
          </w:tcPr>
          <w:p>
            <w:pPr/>
            <w:r>
              <w:rPr/>
              <w:t xml:space="preserve"/>
            </w:r>
          </w:p>
        </w:tc>
        <w:tc>
          <w:tcPr>
            <w:tcW w:w="400" w:type="dxa"/>
          </w:tcPr>
          <w:p>
            <w:pPr/>
            <w:r>
              <w:rPr/>
              <w:t xml:space="preserve"/>
            </w:r>
          </w:p>
        </w:tc>
        <w:tc>
          <w:tcPr>
            <w:tcW w:w="400" w:type="dxa"/>
          </w:tcPr>
          <w:p>
            <w:pPr/>
            <w:r>
              <w:rPr/>
              <w:t xml:space="preserve"/>
            </w:r>
          </w:p>
        </w:tc>
      </w:tr>
      <w:tr>
        <w:trPr>
          <w:trHeight w:val="" w:hRule="atLeast"/>
        </w:trPr>
        <w:tc>
          <w:tcPr>
            <w:tcW w:w="850" w:type="dxa"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  <w:b w:val="1"/>
                <w:bCs w:val="1"/>
              </w:rPr>
              <w:t xml:space="preserve">1.1</w:t>
            </w:r>
          </w:p>
        </w:tc>
        <w:tc>
          <w:tcPr>
            <w:tcW w:w="2000" w:type="dxa"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  <w:b w:val="1"/>
                <w:bCs w:val="1"/>
              </w:rPr>
              <w:t xml:space="preserve">EXPONA LIVING</w:t>
            </w:r>
          </w:p>
        </w:tc>
        <w:tc>
          <w:tcPr>
            <w:tcW w:w="400" w:type="dxa"/>
          </w:tcPr>
          <w:p>
            <w:pPr/>
            <w:r>
              <w:rPr/>
              <w:t xml:space="preserve"/>
            </w:r>
          </w:p>
        </w:tc>
        <w:tc>
          <w:tcPr>
            <w:tcW w:w="400" w:type="dxa"/>
          </w:tcPr>
          <w:p>
            <w:pPr/>
            <w:r>
              <w:rPr/>
              <w:t xml:space="preserve"/>
            </w:r>
          </w:p>
        </w:tc>
        <w:tc>
          <w:tcPr>
            <w:tcW w:w="400" w:type="dxa"/>
          </w:tcPr>
          <w:p>
            <w:pPr/>
            <w:r>
              <w:rPr/>
              <w:t xml:space="preserve"/>
            </w:r>
          </w:p>
        </w:tc>
        <w:tc>
          <w:tcPr>
            <w:tcW w:w="400" w:type="dxa"/>
          </w:tcPr>
          <w:p>
            <w:pPr/>
            <w:r>
              <w:rPr/>
              <w:t xml:space="preserve"/>
            </w:r>
          </w:p>
        </w:tc>
      </w:tr>
      <w:tr>
        <w:trPr>
          <w:trHeight w:val="" w:hRule="atLeast"/>
        </w:trPr>
        <w:tc>
          <w:tcPr>
            <w:tcW w:w="850" w:type="dxa"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  <w:b w:val="1"/>
                <w:bCs w:val="1"/>
              </w:rPr>
              <w:t xml:space="preserve">1.1.1</w:t>
            </w:r>
          </w:p>
        </w:tc>
        <w:tc>
          <w:tcPr>
            <w:tcW w:w="2000" w:type="dxa"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  <w:b w:val="1"/>
                <w:bCs w:val="1"/>
              </w:rPr>
              <w:t xml:space="preserve">Design-Sockelleiste</w:t>
            </w:r>
          </w:p>
        </w:tc>
        <w:tc>
          <w:tcPr>
            <w:tcW w:w="400" w:type="dxa"/>
          </w:tcPr>
          <w:p>
            <w:pPr/>
            <w:r>
              <w:rPr/>
              <w:t xml:space="preserve"/>
            </w:r>
          </w:p>
        </w:tc>
        <w:tc>
          <w:tcPr>
            <w:tcW w:w="400" w:type="dxa"/>
          </w:tcPr>
          <w:p>
            <w:pPr/>
            <w:r>
              <w:rPr/>
              <w:t xml:space="preserve"/>
            </w:r>
          </w:p>
        </w:tc>
        <w:tc>
          <w:tcPr>
            <w:tcW w:w="400" w:type="dxa"/>
          </w:tcPr>
          <w:p>
            <w:pPr/>
            <w:r>
              <w:rPr/>
              <w:t xml:space="preserve"/>
            </w:r>
          </w:p>
        </w:tc>
        <w:tc>
          <w:tcPr>
            <w:tcW w:w="400" w:type="dxa"/>
          </w:tcPr>
          <w:p>
            <w:pPr/>
            <w:r>
              <w:rPr/>
              <w:t xml:space="preserve"/>
            </w:r>
          </w:p>
        </w:tc>
      </w:tr>
      <w:tr>
        <w:trPr>
          <w:trHeight w:val="" w:hRule="atLeast"/>
          <w:cantSplit w:val="1"/>
        </w:trPr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2000" w:type="dxa"/>
          </w:tcPr>
          <w:p>
            <w:pPr/>
            <w:r>
              <w:rPr>
                <w:rFonts w:ascii="Calibri" w:hAnsi="Calibri" w:eastAsia="Calibri" w:cs="Calibri"/>
                <w:sz w:val="20"/>
                <w:szCs w:val="20"/>
                <w:b w:val="0"/>
                <w:bCs w:val="0"/>
              </w:rPr>
              <w:t xml:space="preserve">Design-Sockelleiste aus hochwertigem MDF Holzwerkstoffkern, mit</w:t>
            </w:r>
            <w:br/>
            <w:r>
              <w:rPr>
                <w:rFonts w:ascii="Calibri" w:hAnsi="Calibri" w:eastAsia="Calibri" w:cs="Calibri"/>
                <w:sz w:val="20"/>
                <w:szCs w:val="20"/>
                <w:b w:val="0"/>
                <w:bCs w:val="0"/>
              </w:rPr>
              <w:t xml:space="preserve">Folienummantelung. Dekor passend zum LVT Design-Bodenbelag oder neutral Classic</w:t>
            </w:r>
            <w:br/>
            <w:r>
              <w:rPr>
                <w:rFonts w:ascii="Calibri" w:hAnsi="Calibri" w:eastAsia="Calibri" w:cs="Calibri"/>
                <w:sz w:val="20"/>
                <w:szCs w:val="20"/>
                <w:b w:val="0"/>
                <w:bCs w:val="0"/>
              </w:rPr>
              <w:t xml:space="preserve">Black, Classic Alu Metallic, Classic White.</w:t>
            </w:r>
            <w:br/>
            <w:r>
              <w:rPr>
                <w:rFonts w:ascii="Calibri" w:hAnsi="Calibri" w:eastAsia="Calibri" w:cs="Calibri"/>
                <w:sz w:val="20"/>
                <w:szCs w:val="20"/>
                <w:b w:val="0"/>
                <w:bCs w:val="0"/>
              </w:rPr>
              <w:t xml:space="preserve"></w:t>
            </w:r>
            <w:br/>
            <w:r>
              <w:rPr>
                <w:rFonts w:ascii="Calibri" w:hAnsi="Calibri" w:eastAsia="Calibri" w:cs="Calibri"/>
                <w:sz w:val="20"/>
                <w:szCs w:val="20"/>
                <w:b w:val="0"/>
                <w:bCs w:val="0"/>
              </w:rPr>
              <w:t xml:space="preserve">Lieferform: Verpackungseinheit mit 5 Stück, je 2,40 m Länge</w:t>
            </w:r>
            <w:br/>
            <w:r>
              <w:rPr>
                <w:rFonts w:ascii="Calibri" w:hAnsi="Calibri" w:eastAsia="Calibri" w:cs="Calibri"/>
                <w:sz w:val="20"/>
                <w:szCs w:val="20"/>
                <w:b w:val="0"/>
                <w:bCs w:val="0"/>
              </w:rPr>
              <w:t xml:space="preserve">Abmessungen: 14 x 60 x 2400 mm (Dicke x Höhe x Länge)</w:t>
            </w:r>
            <w:br/>
            <w:r>
              <w:rPr>
                <w:rFonts w:ascii="Calibri" w:hAnsi="Calibri" w:eastAsia="Calibri" w:cs="Calibri"/>
                <w:sz w:val="20"/>
                <w:szCs w:val="20"/>
                <w:b w:val="0"/>
                <w:bCs w:val="0"/>
              </w:rPr>
              <w:t xml:space="preserve">Trägermaterial: MDF nach DIN EN 622-5 (Verwendung im Trockenbereich)</w:t>
            </w:r>
            <w:br/>
            <w:r>
              <w:rPr>
                <w:rFonts w:ascii="Calibri" w:hAnsi="Calibri" w:eastAsia="Calibri" w:cs="Calibri"/>
                <w:sz w:val="20"/>
                <w:szCs w:val="20"/>
                <w:b w:val="0"/>
                <w:bCs w:val="0"/>
              </w:rPr>
              <w:t xml:space="preserve">Ummantelungsmaterial: Dekorfolie, Acrylmelaminharzfolie, lackiert</w:t>
            </w:r>
            <w:br/>
            <w:r>
              <w:rPr>
                <w:rFonts w:ascii="Calibri" w:hAnsi="Calibri" w:eastAsia="Calibri" w:cs="Calibri"/>
                <w:sz w:val="20"/>
                <w:szCs w:val="20"/>
                <w:b w:val="0"/>
                <w:bCs w:val="0"/>
              </w:rPr>
              <w:t xml:space="preserve">Oberfläche: UV-Lack transparent</w:t>
            </w:r>
            <w:br/>
            <w:r>
              <w:rPr>
                <w:rFonts w:ascii="Calibri" w:hAnsi="Calibri" w:eastAsia="Calibri" w:cs="Calibri"/>
                <w:sz w:val="20"/>
                <w:szCs w:val="20"/>
                <w:b w:val="0"/>
                <w:bCs w:val="0"/>
              </w:rPr>
              <w:t xml:space="preserve"></w:t>
            </w:r>
            <w:br/>
            <w:r>
              <w:rPr>
                <w:rFonts w:ascii="Calibri" w:hAnsi="Calibri" w:eastAsia="Calibri" w:cs="Calibri"/>
                <w:sz w:val="20"/>
                <w:szCs w:val="20"/>
                <w:b w:val="0"/>
                <w:bCs w:val="0"/>
              </w:rPr>
              <w:t xml:space="preserve"></w:t>
            </w:r>
            <w:br/>
            <w:r>
              <w:rPr>
                <w:rFonts w:ascii="Calibri" w:hAnsi="Calibri" w:eastAsia="Calibri" w:cs="Calibri"/>
                <w:sz w:val="20"/>
                <w:szCs w:val="20"/>
                <w:b w:val="0"/>
                <w:bCs w:val="0"/>
              </w:rPr>
              <w:t xml:space="preserve">Fachgerecht befestigen: Leiste verschrauben, nageln oder kleben.</w:t>
            </w:r>
            <w:br/>
            <w:r>
              <w:rPr>
                <w:rFonts w:ascii="Calibri" w:hAnsi="Calibri" w:eastAsia="Calibri" w:cs="Calibri"/>
                <w:sz w:val="20"/>
                <w:szCs w:val="20"/>
                <w:b w:val="0"/>
                <w:bCs w:val="0"/>
              </w:rPr>
              <w:t xml:space="preserve">Für schraubenlose Optik/Befestigung: Montage mit CLIPSTAR Befestigungssystem</w:t>
            </w:r>
            <w:br/>
            <w:r>
              <w:rPr>
                <w:rFonts w:ascii="Calibri" w:hAnsi="Calibri" w:eastAsia="Calibri" w:cs="Calibri"/>
                <w:sz w:val="20"/>
                <w:szCs w:val="20"/>
                <w:b w:val="0"/>
                <w:bCs w:val="0"/>
              </w:rPr>
              <w:t xml:space="preserve">inkl. sicherer Kabelführung.</w:t>
            </w:r>
            <w:br/>
            <w:r>
              <w:rPr>
                <w:rFonts w:ascii="Calibri" w:hAnsi="Calibri" w:eastAsia="Calibri" w:cs="Calibri"/>
                <w:sz w:val="20"/>
                <w:szCs w:val="20"/>
                <w:b w:val="0"/>
                <w:bCs w:val="0"/>
              </w:rPr>
              <w:t xml:space="preserve">Lieferform: Verpackungseinheit 50 Clips inkl. Befestigungsmaterial</w:t>
            </w:r>
            <w:br/>
            <w:r>
              <w:rPr>
                <w:rFonts w:ascii="Calibri" w:hAnsi="Calibri" w:eastAsia="Calibri" w:cs="Calibri"/>
                <w:sz w:val="20"/>
                <w:szCs w:val="20"/>
                <w:b w:val="0"/>
                <w:bCs w:val="0"/>
              </w:rPr>
              <w:t xml:space="preserve">Abstand der Clips: 25 50 cm</w:t>
            </w:r>
            <w:br/>
            <w:r>
              <w:rPr>
                <w:rFonts w:ascii="Calibri" w:hAnsi="Calibri" w:eastAsia="Calibri" w:cs="Calibri"/>
                <w:sz w:val="20"/>
                <w:szCs w:val="20"/>
                <w:b w:val="0"/>
                <w:bCs w:val="0"/>
              </w:rPr>
              <w:t xml:space="preserve"></w:t>
            </w:r>
            <w:br/>
            <w:r>
              <w:rPr>
                <w:rFonts w:ascii="Calibri" w:hAnsi="Calibri" w:eastAsia="Calibri" w:cs="Calibri"/>
                <w:sz w:val="20"/>
                <w:szCs w:val="20"/>
                <w:b w:val="0"/>
                <w:bCs w:val="0"/>
              </w:rPr>
              <w:t xml:space="preserve">Design-Sockelleiste oder gleichwertig:</w:t>
            </w:r>
            <w:br/>
            <w:r>
              <w:rPr>
                <w:rFonts w:ascii="Calibri" w:hAnsi="Calibri" w:eastAsia="Calibri" w:cs="Calibri"/>
                <w:sz w:val="20"/>
                <w:szCs w:val="20"/>
                <w:b w:val="0"/>
                <w:bCs w:val="0"/>
              </w:rPr>
              <w:t xml:space="preserve"></w:t>
            </w:r>
            <w:br/>
            <w:r>
              <w:rPr>
                <w:rFonts w:ascii="Calibri" w:hAnsi="Calibri" w:eastAsia="Calibri" w:cs="Calibri"/>
                <w:sz w:val="20"/>
                <w:szCs w:val="20"/>
                <w:b w:val="0"/>
                <w:bCs w:val="0"/>
              </w:rPr>
              <w:t xml:space="preserve">Hersteller/Typ ....................................................... vom</w:t>
            </w:r>
            <w:br/>
            <w:r>
              <w:rPr>
                <w:rFonts w:ascii="Calibri" w:hAnsi="Calibri" w:eastAsia="Calibri" w:cs="Calibri"/>
                <w:sz w:val="20"/>
                <w:szCs w:val="20"/>
                <w:b w:val="0"/>
                <w:bCs w:val="0"/>
              </w:rPr>
              <w:t xml:space="preserve">Bieter einzutragen</w:t>
            </w:r>
            <w:br/>
            <w:r>
              <w:rPr>
                <w:rFonts w:ascii="Calibri" w:hAnsi="Calibri" w:eastAsia="Calibri" w:cs="Calibri"/>
                <w:sz w:val="20"/>
                <w:szCs w:val="20"/>
                <w:b w:val="0"/>
                <w:bCs w:val="0"/>
              </w:rPr>
              <w:t xml:space="preserve"></w:t>
            </w:r>
            <w:br/>
            <w:r>
              <w:rPr>
                <w:rFonts w:ascii="Calibri" w:hAnsi="Calibri" w:eastAsia="Calibri" w:cs="Calibri"/>
                <w:sz w:val="20"/>
                <w:szCs w:val="20"/>
                <w:b w:val="0"/>
                <w:bCs w:val="0"/>
              </w:rPr>
              <w:t xml:space="preserve">Abrechnungseinheit: lfm / Verpackungseinheit</w:t>
            </w:r>
            <w:br/>
            <w:r>
              <w:rPr>
                <w:rFonts w:ascii="Calibri" w:hAnsi="Calibri" w:eastAsia="Calibri" w:cs="Calibri"/>
                <w:sz w:val="20"/>
                <w:szCs w:val="20"/>
                <w:b w:val="0"/>
                <w:bCs w:val="0"/>
              </w:rPr>
              <w:t xml:space="preserve"></w:t>
            </w:r>
            <w:br/>
            <w:r>
              <w:rPr>
                <w:rFonts w:ascii="Calibri" w:hAnsi="Calibri" w:eastAsia="Calibri" w:cs="Calibri"/>
                <w:sz w:val="20"/>
                <w:szCs w:val="20"/>
                <w:b w:val="0"/>
                <w:bCs w:val="0"/>
              </w:rPr>
              <w:t xml:space="preserve"></w:t>
            </w:r>
            <w:br/>
            <w:r>
              <w:rPr>
                <w:rFonts w:ascii="Calibri" w:hAnsi="Calibri" w:eastAsia="Calibri" w:cs="Calibri"/>
                <w:sz w:val="20"/>
                <w:szCs w:val="20"/>
                <w:b w:val="0"/>
                <w:bCs w:val="0"/>
              </w:rPr>
              <w:t xml:space="preserve">CLIPSTAR System oder gleichwertig:</w:t>
            </w:r>
            <w:br/>
            <w:r>
              <w:rPr>
                <w:rFonts w:ascii="Calibri" w:hAnsi="Calibri" w:eastAsia="Calibri" w:cs="Calibri"/>
                <w:sz w:val="20"/>
                <w:szCs w:val="20"/>
                <w:b w:val="0"/>
                <w:bCs w:val="0"/>
              </w:rPr>
              <w:t xml:space="preserve"></w:t>
            </w:r>
            <w:br/>
            <w:r>
              <w:rPr>
                <w:rFonts w:ascii="Calibri" w:hAnsi="Calibri" w:eastAsia="Calibri" w:cs="Calibri"/>
                <w:sz w:val="20"/>
                <w:szCs w:val="20"/>
                <w:b w:val="0"/>
                <w:bCs w:val="0"/>
              </w:rPr>
              <w:t xml:space="preserve">Hersteller/Typ …………………………………………………………..………..… vom Bieter einzutragen</w:t>
            </w:r>
            <w:br/>
            <w:r>
              <w:rPr>
                <w:rFonts w:ascii="Calibri" w:hAnsi="Calibri" w:eastAsia="Calibri" w:cs="Calibri"/>
                <w:sz w:val="20"/>
                <w:szCs w:val="20"/>
                <w:b w:val="0"/>
                <w:bCs w:val="0"/>
              </w:rPr>
              <w:t xml:space="preserve"></w:t>
            </w:r>
            <w:br/>
            <w:r>
              <w:rPr>
                <w:rFonts w:ascii="Calibri" w:hAnsi="Calibri" w:eastAsia="Calibri" w:cs="Calibri"/>
                <w:sz w:val="20"/>
                <w:szCs w:val="20"/>
                <w:b w:val="0"/>
                <w:bCs w:val="0"/>
              </w:rPr>
              <w:t xml:space="preserve">Abrechnungseinheit: lfm / Verpackungseinheit</w:t>
            </w:r>
          </w:p>
        </w:tc>
        <w:tc>
          <w:tcPr>
            <w:tcW w:w="400" w:type="dxa"/>
          </w:tcPr>
          <w:p>
            <w:pPr/>
            <w:r>
              <w:rPr/>
              <w:t xml:space="preserve"/>
            </w:r>
          </w:p>
        </w:tc>
        <w:tc>
          <w:tcPr>
            <w:tcW w:w="400" w:type="dxa"/>
          </w:tcPr>
          <w:p>
            <w:pPr/>
            <w:r>
              <w:rPr/>
              <w:t xml:space="preserve"/>
            </w:r>
          </w:p>
        </w:tc>
        <w:tc>
          <w:tcPr>
            <w:tcW w:w="400" w:type="dxa"/>
          </w:tcPr>
          <w:p>
            <w:pPr/>
            <w:r>
              <w:rPr/>
              <w:t xml:space="preserve"/>
            </w:r>
          </w:p>
        </w:tc>
        <w:tc>
          <w:tcPr>
            <w:tcW w:w="400" w:type="dxa"/>
          </w:tcPr>
          <w:p>
            <w:pPr/>
            <w:r>
              <w:rPr/>
              <w:t xml:space="preserve"/>
            </w:r>
          </w:p>
        </w:tc>
      </w:tr>
      <w:tr>
        <w:trPr>
          <w:trHeight w:val="" w:hRule="atLeast"/>
          <w:cantSplit w:val="1"/>
        </w:trPr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2000" w:type="dxa"/>
          </w:tcPr>
          <w:p>
            <w:pPr/>
            <w:r>
              <w:rPr/>
              <w:t xml:space="preserve"/>
            </w:r>
          </w:p>
        </w:tc>
        <w:tc>
          <w:tcPr>
            <w:tcW w:w="400" w:type="dxa"/>
          </w:tcPr>
          <w:p>
            <w:pPr/>
            <w:r>
              <w:rPr/>
              <w:t xml:space="preserve">0</w:t>
            </w:r>
          </w:p>
        </w:tc>
        <w:tc>
          <w:tcPr>
            <w:tcW w:w="400" w:type="dxa"/>
          </w:tcPr>
          <w:p>
            <w:pPr/>
            <w:r>
              <w:rPr/>
              <w:t xml:space="preserve">lfm</w:t>
            </w:r>
          </w:p>
        </w:tc>
        <w:tc>
          <w:tcPr>
            <w:tcW w:w="400" w:type="dxa"/>
          </w:tcPr>
          <w:p>
            <w:pPr/>
            <w:r>
              <w:rPr/>
              <w:t xml:space="preserve">0,00 €</w:t>
            </w:r>
          </w:p>
        </w:tc>
        <w:tc>
          <w:tcPr>
            <w:tcW w:w="400" w:type="dxa"/>
          </w:tcPr>
          <w:p>
            <w:pPr/>
            <w:r>
              <w:rPr/>
              <w:t xml:space="preserve">0,00 €</w:t>
            </w:r>
          </w:p>
        </w:tc>
      </w:tr>
    </w:tbl>
    <w:p>
      <w:pPr/>
      <w:r>
        <w:rPr/>
        <w:t xml:space="preserve">
</w:t>
      </w:r>
    </w:p>
    <w:p>
      <w:hyperlink r:id="rId7" w:history="1">
        <w:r>
          <w:rPr>
            <w:rFonts w:ascii="Calibri" w:hAnsi="Calibri" w:eastAsia="Calibri" w:cs="Calibri"/>
            <w:color w:val="#0000ff"/>
            <w:sz w:val="20"/>
            <w:szCs w:val="20"/>
            <w:u w:val="single"/>
          </w:rPr>
          <w:t xml:space="preserve">Objectflor auf heinze.de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paragraphFooterStyle"/>
    </w:pPr>
    <w:r>
      <w:rPr>
        <w:rFonts w:ascii="Calibri" w:hAnsi="Calibri" w:eastAsia="Calibri" w:cs="Calibri"/>
        <w:sz w:val="20"/>
        <w:szCs w:val="20"/>
      </w:rPr>
      <w:t xml:space="preserve">Seite </w:t>
    </w: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sz w:val="20"/>
        <w:szCs w:val="20"/>
      </w:rPr>
      <w:t xml:space="preserve"> von </w:t>
    </w: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500" w:type="dxa"/>
      <w:gridCol w:w="2500" w:type="dxa"/>
    </w:tblGrid>
    <w:tblPr>
      <w:tblW w:w="5000" w:type="pct"/>
      <w:tblLayout w:type="autofit"/>
      <w:bidiVisual w:val="0"/>
    </w:tblPr>
    <w:tr>
      <w:trPr>
        <w:trHeight w:val="" w:hRule="atLeast"/>
      </w:trPr>
      <w:tc>
        <w:tcPr>
          <w:tcW w:w="2500" w:type="dxa"/>
        </w:tcPr>
        <w:p>
          <w:pPr/>
          <w:r>
            <w:rPr>
              <w:rFonts w:ascii="Calibri" w:hAnsi="Calibri" w:eastAsia="Calibri" w:cs="Calibri"/>
              <w:sz w:val="40"/>
              <w:szCs w:val="40"/>
              <w:b w:val="1"/>
              <w:bCs w:val="1"/>
            </w:rPr>
            <w:t xml:space="preserve">Objectflor</w:t>
          </w:r>
        </w:p>
      </w:tc>
      <w:tc>
        <w:tcPr>
          <w:tcW w:w="2500" w:type="dxa"/>
        </w:tcPr>
        <w:p>
          <w:pPr>
            <w:jc w:val="end"/>
          </w:pPr>
          <w:r>
            <w:pict>
              <v:shape type="#_x0000_t75" stroked="f" style="width:100pt; height:33.333333333333pt; margin-left:0pt; margin-top:0pt; mso-position-horizontal:left; mso-position-vertical:top; mso-position-horizontal-relative:char; mso-position-vertical-relative:line;">
                <w10:wrap type="square"/>
                <v:imagedata r:id="rId1" o:title=""/>
              </v:shape>
            </w:pic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de-DE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de-DE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aragraphFooterStyle">
    <w:name w:val="paragraphFooterStyle"/>
    <w:basedOn w:val="Normal"/>
    <w:pPr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heinze.de/themenkosmos/226183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2022-06-17T09:06:48+02:00</dcterms:created>
  <dcterms:modified xsi:type="dcterms:W3CDTF">2022-06-17T09:06:48+02:00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